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648" w:rsidRPr="00B13A76" w:rsidRDefault="00700648" w:rsidP="00700648">
      <w:pPr>
        <w:pStyle w:val="Heading4"/>
        <w:kinsoku w:val="0"/>
        <w:overflowPunct w:val="0"/>
        <w:spacing w:before="55"/>
        <w:ind w:left="3615" w:right="3599"/>
        <w:jc w:val="center"/>
        <w:rPr>
          <w:rFonts w:ascii="Times New Roman" w:hAnsi="Times New Roman" w:cs="Times New Roman"/>
          <w:b w:val="0"/>
          <w:bCs w:val="0"/>
          <w:sz w:val="24"/>
          <w:szCs w:val="24"/>
        </w:rPr>
      </w:pPr>
      <w:r w:rsidRPr="00B13A76">
        <w:rPr>
          <w:rFonts w:ascii="Times New Roman" w:hAnsi="Times New Roman" w:cs="Times New Roman"/>
          <w:sz w:val="24"/>
          <w:szCs w:val="24"/>
        </w:rPr>
        <w:t>THEINDEX</w:t>
      </w:r>
    </w:p>
    <w:p w:rsidR="00700648" w:rsidRPr="00B13A76" w:rsidRDefault="00700648" w:rsidP="00700648">
      <w:pPr>
        <w:pStyle w:val="BodyText"/>
        <w:kinsoku w:val="0"/>
        <w:overflowPunct w:val="0"/>
        <w:spacing w:before="4"/>
        <w:ind w:left="0" w:firstLine="0"/>
        <w:rPr>
          <w:rFonts w:ascii="Times New Roman" w:hAnsi="Times New Roman" w:cs="Times New Roman"/>
          <w:b/>
          <w:bCs/>
          <w:sz w:val="24"/>
          <w:szCs w:val="24"/>
        </w:rPr>
      </w:pPr>
    </w:p>
    <w:p w:rsidR="00700648" w:rsidRPr="00B13A76" w:rsidRDefault="000F6323" w:rsidP="00700648">
      <w:pPr>
        <w:pStyle w:val="BodyText"/>
        <w:kinsoku w:val="0"/>
        <w:overflowPunct w:val="0"/>
        <w:ind w:left="0" w:right="119" w:firstLine="0"/>
        <w:rPr>
          <w:rFonts w:ascii="Times New Roman" w:hAnsi="Times New Roman" w:cs="Times New Roman"/>
          <w:sz w:val="24"/>
          <w:szCs w:val="24"/>
        </w:rPr>
      </w:pPr>
      <w:bookmarkStart w:id="0" w:name="OLE_LINK32"/>
      <w:bookmarkStart w:id="1" w:name="OLE_LINK33"/>
      <w:bookmarkStart w:id="2" w:name="OLE_LINK34"/>
      <w:r>
        <w:rPr>
          <w:rFonts w:ascii="Times New Roman" w:hAnsi="Times New Roman" w:cs="Times New Roman"/>
          <w:sz w:val="24"/>
          <w:szCs w:val="24"/>
        </w:rPr>
        <w:t xml:space="preserve">The </w:t>
      </w:r>
      <w:r w:rsidR="00700648" w:rsidRPr="002B278B">
        <w:rPr>
          <w:rFonts w:ascii="Times New Roman" w:hAnsi="Times New Roman" w:cs="Times New Roman"/>
          <w:sz w:val="24"/>
          <w:szCs w:val="24"/>
        </w:rPr>
        <w:t xml:space="preserve">CFRA-Stovall </w:t>
      </w:r>
      <w:r w:rsidRPr="002B278B">
        <w:rPr>
          <w:rFonts w:ascii="Times New Roman" w:hAnsi="Times New Roman" w:cs="Times New Roman"/>
          <w:sz w:val="24"/>
          <w:szCs w:val="24"/>
        </w:rPr>
        <w:t xml:space="preserve">Small Cap </w:t>
      </w:r>
      <w:r w:rsidR="00700648" w:rsidRPr="002B278B">
        <w:rPr>
          <w:rFonts w:ascii="Times New Roman" w:hAnsi="Times New Roman" w:cs="Times New Roman"/>
          <w:sz w:val="24"/>
          <w:szCs w:val="24"/>
        </w:rPr>
        <w:t>Seasonal Rotation</w:t>
      </w:r>
      <w:r w:rsidRPr="002B278B">
        <w:rPr>
          <w:rFonts w:ascii="Times New Roman" w:hAnsi="Times New Roman" w:cs="Times New Roman"/>
          <w:sz w:val="24"/>
          <w:szCs w:val="24"/>
        </w:rPr>
        <w:t xml:space="preserve"> </w:t>
      </w:r>
      <w:r w:rsidR="00700648" w:rsidRPr="002B278B">
        <w:rPr>
          <w:rFonts w:ascii="Times New Roman" w:hAnsi="Times New Roman" w:cs="Times New Roman"/>
          <w:sz w:val="24"/>
          <w:szCs w:val="24"/>
        </w:rPr>
        <w:t>Index</w:t>
      </w:r>
      <w:r w:rsidR="00700648" w:rsidRPr="00B13A76">
        <w:rPr>
          <w:rFonts w:ascii="Times New Roman" w:hAnsi="Times New Roman" w:cs="Times New Roman"/>
          <w:sz w:val="24"/>
          <w:szCs w:val="24"/>
        </w:rPr>
        <w:t xml:space="preserve"> </w:t>
      </w:r>
      <w:bookmarkEnd w:id="0"/>
      <w:bookmarkEnd w:id="1"/>
      <w:bookmarkEnd w:id="2"/>
      <w:r w:rsidR="00700648" w:rsidRPr="00B13A76">
        <w:rPr>
          <w:rFonts w:ascii="Times New Roman" w:hAnsi="Times New Roman" w:cs="Times New Roman"/>
          <w:sz w:val="24"/>
          <w:szCs w:val="24"/>
        </w:rPr>
        <w:t>(USD) (the “</w:t>
      </w:r>
      <w:r w:rsidR="00700648" w:rsidRPr="00B13A76">
        <w:rPr>
          <w:rFonts w:ascii="Times New Roman" w:hAnsi="Times New Roman" w:cs="Times New Roman"/>
          <w:b/>
          <w:bCs/>
          <w:sz w:val="24"/>
          <w:szCs w:val="24"/>
        </w:rPr>
        <w:t>Index</w:t>
      </w:r>
      <w:r w:rsidR="00700648" w:rsidRPr="00B13A76">
        <w:rPr>
          <w:rFonts w:ascii="Times New Roman" w:hAnsi="Times New Roman" w:cs="Times New Roman"/>
          <w:sz w:val="24"/>
          <w:szCs w:val="24"/>
        </w:rPr>
        <w:t xml:space="preserve">”) was created by </w:t>
      </w:r>
      <w:r w:rsidR="009A22E4" w:rsidRPr="00B13A76">
        <w:rPr>
          <w:rFonts w:ascii="Times New Roman" w:hAnsi="Times New Roman" w:cs="Times New Roman"/>
          <w:sz w:val="24"/>
          <w:szCs w:val="24"/>
        </w:rPr>
        <w:t xml:space="preserve">CFRA </w:t>
      </w:r>
      <w:r w:rsidR="00700648" w:rsidRPr="00B13A76">
        <w:rPr>
          <w:rFonts w:ascii="Times New Roman" w:hAnsi="Times New Roman" w:cs="Times New Roman"/>
          <w:sz w:val="24"/>
          <w:szCs w:val="24"/>
        </w:rPr>
        <w:t xml:space="preserve">(the “Index Sponsor”). </w:t>
      </w:r>
    </w:p>
    <w:p w:rsidR="00D76988" w:rsidRPr="00B13A76" w:rsidRDefault="00D76988">
      <w:pPr>
        <w:rPr>
          <w:rFonts w:ascii="Times New Roman" w:hAnsi="Times New Roman" w:cs="Times New Roman"/>
        </w:rPr>
      </w:pPr>
    </w:p>
    <w:p w:rsidR="00700648" w:rsidRPr="00B13A76" w:rsidRDefault="000F6323" w:rsidP="00700648">
      <w:pPr>
        <w:spacing w:after="120"/>
        <w:jc w:val="both"/>
        <w:rPr>
          <w:rFonts w:ascii="Times New Roman" w:hAnsi="Times New Roman" w:cs="Times New Roman"/>
          <w:lang w:eastAsia="zh-CN"/>
        </w:rPr>
      </w:pPr>
      <w:r>
        <w:rPr>
          <w:rFonts w:ascii="Times New Roman" w:hAnsi="Times New Roman" w:cs="Times New Roman"/>
          <w:b/>
        </w:rPr>
        <w:t>The I</w:t>
      </w:r>
      <w:r w:rsidR="009A22E4" w:rsidRPr="00B13A76">
        <w:rPr>
          <w:rFonts w:ascii="Times New Roman" w:hAnsi="Times New Roman" w:cs="Times New Roman"/>
          <w:b/>
        </w:rPr>
        <w:t>ndex</w:t>
      </w:r>
    </w:p>
    <w:p w:rsidR="00700648" w:rsidRPr="00B13A76" w:rsidRDefault="00700648" w:rsidP="00700648">
      <w:pPr>
        <w:rPr>
          <w:rFonts w:ascii="Times New Roman" w:hAnsi="Times New Roman" w:cs="Times New Roman"/>
          <w:b/>
          <w:bCs/>
        </w:rPr>
      </w:pPr>
      <w:r w:rsidRPr="00B13A76">
        <w:rPr>
          <w:rFonts w:ascii="Times New Roman" w:hAnsi="Times New Roman" w:cs="Times New Roman"/>
          <w:lang w:eastAsia="zh-CN"/>
        </w:rPr>
        <w:t xml:space="preserve">The Index uses </w:t>
      </w:r>
      <w:r w:rsidR="00826F9A" w:rsidRPr="00B13A76">
        <w:rPr>
          <w:rFonts w:ascii="Times New Roman" w:hAnsi="Times New Roman" w:cs="Times New Roman"/>
          <w:lang w:eastAsia="zh-CN"/>
        </w:rPr>
        <w:t>a</w:t>
      </w:r>
      <w:r w:rsidR="00A974F1" w:rsidRPr="00B13A76">
        <w:rPr>
          <w:rFonts w:ascii="Times New Roman" w:hAnsi="Times New Roman" w:cs="Times New Roman"/>
          <w:lang w:eastAsia="zh-CN"/>
        </w:rPr>
        <w:t xml:space="preserve"> </w:t>
      </w:r>
      <w:r w:rsidR="00C677B8" w:rsidRPr="00B13A76">
        <w:rPr>
          <w:rFonts w:ascii="Times New Roman" w:hAnsi="Times New Roman" w:cs="Times New Roman"/>
          <w:bCs/>
        </w:rPr>
        <w:t>s</w:t>
      </w:r>
      <w:r w:rsidRPr="00B13A76">
        <w:rPr>
          <w:rFonts w:ascii="Times New Roman" w:hAnsi="Times New Roman" w:cs="Times New Roman"/>
          <w:bCs/>
        </w:rPr>
        <w:t xml:space="preserve">emi-annual S&amp;P </w:t>
      </w:r>
      <w:r w:rsidR="008D3192" w:rsidRPr="00B13A76">
        <w:rPr>
          <w:rFonts w:ascii="Times New Roman" w:hAnsi="Times New Roman" w:cs="Times New Roman"/>
          <w:bCs/>
        </w:rPr>
        <w:t>Small Cap 6</w:t>
      </w:r>
      <w:r w:rsidRPr="00B13A76">
        <w:rPr>
          <w:rFonts w:ascii="Times New Roman" w:hAnsi="Times New Roman" w:cs="Times New Roman"/>
          <w:bCs/>
        </w:rPr>
        <w:t>00 sector rotation strategy. The Inde</w:t>
      </w:r>
      <w:r w:rsidR="008D3192" w:rsidRPr="00B13A76">
        <w:rPr>
          <w:rFonts w:ascii="Times New Roman" w:hAnsi="Times New Roman" w:cs="Times New Roman"/>
          <w:bCs/>
        </w:rPr>
        <w:t>x invests equally in the S&amp;P Small Cap 600</w:t>
      </w:r>
      <w:r w:rsidRPr="00B13A76">
        <w:rPr>
          <w:rFonts w:ascii="Times New Roman" w:hAnsi="Times New Roman" w:cs="Times New Roman"/>
          <w:bCs/>
        </w:rPr>
        <w:t xml:space="preserve"> Consumer Staples and Health Care sectors from May through October. From November through April, it invests equally in the S&amp;P </w:t>
      </w:r>
      <w:r w:rsidR="00536065" w:rsidRPr="00B13A76">
        <w:rPr>
          <w:rFonts w:ascii="Times New Roman" w:hAnsi="Times New Roman" w:cs="Times New Roman"/>
          <w:bCs/>
        </w:rPr>
        <w:t>Small Cap 6</w:t>
      </w:r>
      <w:r w:rsidRPr="00B13A76">
        <w:rPr>
          <w:rFonts w:ascii="Times New Roman" w:hAnsi="Times New Roman" w:cs="Times New Roman"/>
          <w:bCs/>
        </w:rPr>
        <w:t>00 Consumer Discretionary, Industrials, Information Technology and Materials sectors.</w:t>
      </w:r>
    </w:p>
    <w:p w:rsidR="000F6323" w:rsidRDefault="000F6323" w:rsidP="000F6323">
      <w:pPr>
        <w:rPr>
          <w:rFonts w:ascii="Times New Roman" w:hAnsi="Times New Roman" w:cs="Times New Roman"/>
          <w:b/>
          <w:bCs/>
        </w:rPr>
      </w:pPr>
    </w:p>
    <w:p w:rsidR="000F6323" w:rsidRDefault="000F6323" w:rsidP="000F6323">
      <w:pPr>
        <w:rPr>
          <w:rFonts w:ascii="Times New Roman" w:hAnsi="Times New Roman" w:cs="Times New Roman"/>
          <w:b/>
          <w:bCs/>
        </w:rPr>
      </w:pPr>
      <w:r>
        <w:rPr>
          <w:rFonts w:ascii="Times New Roman" w:hAnsi="Times New Roman" w:cs="Times New Roman"/>
          <w:b/>
          <w:bCs/>
        </w:rPr>
        <w:t>Official Index Names and Descriptions</w:t>
      </w:r>
    </w:p>
    <w:p w:rsidR="000F6323" w:rsidRPr="00107E18" w:rsidRDefault="000F6323" w:rsidP="000F6323">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Price Return</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Pr>
          <w:rFonts w:ascii="Times New Roman" w:hAnsi="Times New Roman" w:cs="Times New Roman"/>
          <w:bCs/>
          <w:sz w:val="24"/>
          <w:szCs w:val="24"/>
        </w:rPr>
        <w:t xml:space="preserve">Index Name = CFRA-Stovall Small </w:t>
      </w:r>
      <w:r w:rsidRPr="00107E18">
        <w:rPr>
          <w:rFonts w:ascii="Times New Roman" w:hAnsi="Times New Roman" w:cs="Times New Roman"/>
          <w:bCs/>
          <w:sz w:val="24"/>
          <w:szCs w:val="24"/>
        </w:rPr>
        <w:t>Cap Seasonal Rotation Index</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 Real-time</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w:t>
      </w:r>
      <w:r>
        <w:rPr>
          <w:rFonts w:ascii="Times New Roman" w:hAnsi="Times New Roman" w:cs="Times New Roman"/>
          <w:bCs/>
          <w:sz w:val="24"/>
          <w:szCs w:val="24"/>
        </w:rPr>
        <w:t xml:space="preserve">red Ticker (8 character max)  = CSAMSRSC </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Description (for BBG it can only be 300 characters including spaces) = </w:t>
      </w:r>
      <w:r w:rsidRPr="000F6323">
        <w:rPr>
          <w:rFonts w:ascii="Times New Roman" w:hAnsi="Times New Roman" w:cs="Times New Roman"/>
          <w:bCs/>
          <w:sz w:val="24"/>
          <w:szCs w:val="24"/>
        </w:rPr>
        <w:t>The Index invests equally in the S&amp;P SmallCap 600 Consumer Staples and Health Care sectors from May through October. From November through April, it invests equally in the S&amp;P SmallCap 600 Consumer Discretionary, Industrials, Information Technology and Materials sectors.</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Currency = USD</w:t>
      </w:r>
    </w:p>
    <w:p w:rsidR="000F6323" w:rsidRPr="00107E18" w:rsidRDefault="000F6323" w:rsidP="000F6323">
      <w:pPr>
        <w:pStyle w:val="ListParagraph"/>
        <w:ind w:left="1440"/>
        <w:contextualSpacing w:val="0"/>
        <w:rPr>
          <w:rFonts w:ascii="Times New Roman" w:hAnsi="Times New Roman" w:cs="Times New Roman"/>
          <w:bCs/>
          <w:sz w:val="24"/>
          <w:szCs w:val="24"/>
        </w:rPr>
      </w:pPr>
    </w:p>
    <w:p w:rsidR="000F6323" w:rsidRPr="00107E18" w:rsidRDefault="000F6323" w:rsidP="000F6323">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Total Return</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Name = </w:t>
      </w:r>
      <w:r w:rsidRPr="000F6323">
        <w:rPr>
          <w:rFonts w:ascii="Times New Roman" w:hAnsi="Times New Roman" w:cs="Times New Roman"/>
          <w:bCs/>
          <w:sz w:val="24"/>
          <w:szCs w:val="24"/>
        </w:rPr>
        <w:t>CFRA-Stovall Small Cap Seasonal Rotation Total Return Index</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w:t>
      </w:r>
      <w:r>
        <w:rPr>
          <w:rFonts w:ascii="Times New Roman" w:hAnsi="Times New Roman" w:cs="Times New Roman"/>
          <w:bCs/>
          <w:sz w:val="24"/>
          <w:szCs w:val="24"/>
        </w:rPr>
        <w:t xml:space="preserve"> EOD</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Desired Ticker (8 character max)  =</w:t>
      </w:r>
      <w:r>
        <w:rPr>
          <w:rFonts w:ascii="Times New Roman" w:hAnsi="Times New Roman" w:cs="Times New Roman"/>
          <w:bCs/>
          <w:sz w:val="24"/>
          <w:szCs w:val="24"/>
        </w:rPr>
        <w:t xml:space="preserve"> </w:t>
      </w:r>
      <w:r w:rsidRPr="00E41FB8">
        <w:rPr>
          <w:rFonts w:ascii="Times New Roman" w:hAnsi="Times New Roman" w:cs="Times New Roman"/>
          <w:bCs/>
          <w:sz w:val="24"/>
          <w:szCs w:val="24"/>
        </w:rPr>
        <w:t>CSAMSRST</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Description (for BBG it can only be 300 characters including spaces) = </w:t>
      </w:r>
      <w:r w:rsidRPr="000F6323">
        <w:rPr>
          <w:rFonts w:ascii="Times New Roman" w:hAnsi="Times New Roman" w:cs="Times New Roman"/>
          <w:bCs/>
          <w:sz w:val="24"/>
          <w:szCs w:val="24"/>
        </w:rPr>
        <w:t>The CFRA-Stovall Small Cap Seasonal Rotation Total Return Index invests equally in the S&amp;P SmallCap 600 Consumer Staples and Health Care sectors from May through October. From November through April, it invests equally in the S&amp;P SmallCap 600 Consumer Discretionary, Industrials, Information Technology and Materials sectors.</w:t>
      </w:r>
    </w:p>
    <w:p w:rsidR="000F6323" w:rsidRPr="00107E18" w:rsidRDefault="000F6323" w:rsidP="000F632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Currency = USD</w:t>
      </w:r>
    </w:p>
    <w:p w:rsidR="00700648" w:rsidRPr="00B13A76" w:rsidRDefault="00700648" w:rsidP="00700648">
      <w:pPr>
        <w:rPr>
          <w:rFonts w:ascii="Times New Roman" w:hAnsi="Times New Roman" w:cs="Times New Roman"/>
          <w:b/>
          <w:bCs/>
        </w:rPr>
      </w:pPr>
    </w:p>
    <w:p w:rsidR="002B278B" w:rsidRDefault="002B278B" w:rsidP="00A31EA9">
      <w:pPr>
        <w:keepNext/>
        <w:tabs>
          <w:tab w:val="left" w:pos="6774"/>
        </w:tabs>
        <w:spacing w:before="120"/>
        <w:ind w:right="43"/>
        <w:jc w:val="both"/>
        <w:rPr>
          <w:rFonts w:ascii="Times New Roman" w:hAnsi="Times New Roman" w:cs="Times New Roman"/>
          <w:b/>
          <w:lang w:eastAsia="zh-CN"/>
        </w:rPr>
      </w:pPr>
    </w:p>
    <w:p w:rsidR="002B278B" w:rsidRDefault="002B278B" w:rsidP="00A31EA9">
      <w:pPr>
        <w:keepNext/>
        <w:tabs>
          <w:tab w:val="left" w:pos="6774"/>
        </w:tabs>
        <w:spacing w:before="120"/>
        <w:ind w:right="43"/>
        <w:jc w:val="both"/>
        <w:rPr>
          <w:rFonts w:ascii="Times New Roman" w:hAnsi="Times New Roman" w:cs="Times New Roman"/>
          <w:b/>
          <w:lang w:eastAsia="zh-CN"/>
        </w:rPr>
      </w:pPr>
    </w:p>
    <w:p w:rsidR="009A22E4" w:rsidRPr="00B13A76" w:rsidRDefault="009A22E4" w:rsidP="00A31EA9">
      <w:pPr>
        <w:keepNext/>
        <w:tabs>
          <w:tab w:val="left" w:pos="6774"/>
        </w:tabs>
        <w:spacing w:before="120"/>
        <w:ind w:right="43"/>
        <w:jc w:val="both"/>
        <w:rPr>
          <w:rFonts w:ascii="Times New Roman" w:hAnsi="Times New Roman" w:cs="Times New Roman"/>
          <w:b/>
          <w:lang w:eastAsia="zh-CN"/>
        </w:rPr>
      </w:pPr>
      <w:r w:rsidRPr="00B13A76">
        <w:rPr>
          <w:rFonts w:ascii="Times New Roman" w:hAnsi="Times New Roman" w:cs="Times New Roman"/>
          <w:b/>
          <w:lang w:eastAsia="zh-CN"/>
        </w:rPr>
        <w:t>Security Selection</w:t>
      </w:r>
    </w:p>
    <w:p w:rsidR="003E50F9" w:rsidRPr="00B13A76" w:rsidRDefault="00AA79A4" w:rsidP="003E50F9">
      <w:pPr>
        <w:keepNext/>
        <w:tabs>
          <w:tab w:val="left" w:pos="6774"/>
        </w:tabs>
        <w:spacing w:before="120"/>
        <w:ind w:right="43"/>
        <w:contextualSpacing/>
        <w:jc w:val="both"/>
        <w:rPr>
          <w:rFonts w:ascii="Times New Roman" w:hAnsi="Times New Roman" w:cs="Times New Roman"/>
          <w:bCs/>
        </w:rPr>
      </w:pPr>
      <w:r w:rsidRPr="00B13A76">
        <w:rPr>
          <w:rFonts w:ascii="Times New Roman" w:hAnsi="Times New Roman" w:cs="Times New Roman"/>
          <w:bCs/>
        </w:rPr>
        <w:t>The only eligible components of this index are the</w:t>
      </w:r>
      <w:r w:rsidR="00A96DED" w:rsidRPr="00B13A76">
        <w:rPr>
          <w:rFonts w:ascii="Times New Roman" w:hAnsi="Times New Roman" w:cs="Times New Roman"/>
          <w:bCs/>
        </w:rPr>
        <w:t>se six S&amp;P Small Cap 600</w:t>
      </w:r>
      <w:r w:rsidR="003E50F9" w:rsidRPr="00B13A76">
        <w:rPr>
          <w:rFonts w:ascii="Times New Roman" w:hAnsi="Times New Roman" w:cs="Times New Roman"/>
          <w:bCs/>
        </w:rPr>
        <w:t xml:space="preserve"> sector indices: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S&amp;P SmallCap 600</w:t>
      </w:r>
      <w:r w:rsidR="003E50F9" w:rsidRPr="00B13A76">
        <w:rPr>
          <w:rFonts w:ascii="Times New Roman" w:hAnsi="Times New Roman" w:cs="Times New Roman"/>
          <w:bCs/>
        </w:rPr>
        <w:t xml:space="preserve"> Consu</w:t>
      </w:r>
      <w:r w:rsidRPr="00B13A76">
        <w:rPr>
          <w:rFonts w:ascii="Times New Roman" w:hAnsi="Times New Roman" w:cs="Times New Roman"/>
          <w:bCs/>
        </w:rPr>
        <w:t>mer Stap</w:t>
      </w:r>
      <w:r w:rsidR="0090445A" w:rsidRPr="00B13A76">
        <w:rPr>
          <w:rFonts w:ascii="Times New Roman" w:hAnsi="Times New Roman" w:cs="Times New Roman"/>
          <w:bCs/>
        </w:rPr>
        <w:t>l</w:t>
      </w:r>
      <w:r w:rsidR="008B00A5" w:rsidRPr="00B13A76">
        <w:rPr>
          <w:rFonts w:ascii="Times New Roman" w:hAnsi="Times New Roman" w:cs="Times New Roman"/>
          <w:bCs/>
        </w:rPr>
        <w:t xml:space="preserve">es Index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S&amp;P SmallCap 600 </w:t>
      </w:r>
      <w:r w:rsidR="008B00A5" w:rsidRPr="00B13A76">
        <w:rPr>
          <w:rFonts w:ascii="Times New Roman" w:hAnsi="Times New Roman" w:cs="Times New Roman"/>
          <w:bCs/>
        </w:rPr>
        <w:t xml:space="preserve">Information Technology Index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S&amp;P SmallCap 600 </w:t>
      </w:r>
      <w:r w:rsidR="003E50F9" w:rsidRPr="00B13A76">
        <w:rPr>
          <w:rFonts w:ascii="Times New Roman" w:hAnsi="Times New Roman" w:cs="Times New Roman"/>
          <w:bCs/>
        </w:rPr>
        <w:t>Cons</w:t>
      </w:r>
      <w:r w:rsidR="008B00A5" w:rsidRPr="00B13A76">
        <w:rPr>
          <w:rFonts w:ascii="Times New Roman" w:hAnsi="Times New Roman" w:cs="Times New Roman"/>
          <w:bCs/>
        </w:rPr>
        <w:t xml:space="preserve">umer Discretionary Index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S&amp;P SmallCap 600 </w:t>
      </w:r>
      <w:r w:rsidR="003E50F9" w:rsidRPr="00B13A76">
        <w:rPr>
          <w:rFonts w:ascii="Times New Roman" w:hAnsi="Times New Roman" w:cs="Times New Roman"/>
          <w:bCs/>
        </w:rPr>
        <w:t>H</w:t>
      </w:r>
      <w:r w:rsidR="008B00A5" w:rsidRPr="00B13A76">
        <w:rPr>
          <w:rFonts w:ascii="Times New Roman" w:hAnsi="Times New Roman" w:cs="Times New Roman"/>
          <w:bCs/>
        </w:rPr>
        <w:t xml:space="preserve">ealth Care Index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S&amp;P SmallCap 600 </w:t>
      </w:r>
      <w:r w:rsidR="008B00A5" w:rsidRPr="00B13A76">
        <w:rPr>
          <w:rFonts w:ascii="Times New Roman" w:hAnsi="Times New Roman" w:cs="Times New Roman"/>
          <w:bCs/>
        </w:rPr>
        <w:t xml:space="preserve">Materials Index </w:t>
      </w:r>
    </w:p>
    <w:p w:rsidR="003E50F9" w:rsidRPr="00B13A76" w:rsidRDefault="00A96DED"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S&amp;P SmallCap 600 </w:t>
      </w:r>
      <w:r w:rsidR="003E50F9" w:rsidRPr="00B13A76">
        <w:rPr>
          <w:rFonts w:ascii="Times New Roman" w:hAnsi="Times New Roman" w:cs="Times New Roman"/>
          <w:bCs/>
        </w:rPr>
        <w:t>Industrials Index</w:t>
      </w:r>
    </w:p>
    <w:p w:rsidR="007C4A04" w:rsidRPr="00B13A76" w:rsidRDefault="00E57201" w:rsidP="00E57201">
      <w:pPr>
        <w:keepNext/>
        <w:tabs>
          <w:tab w:val="left" w:pos="6774"/>
        </w:tabs>
        <w:spacing w:before="120"/>
        <w:ind w:right="43"/>
        <w:jc w:val="both"/>
        <w:rPr>
          <w:rFonts w:ascii="Times New Roman" w:hAnsi="Times New Roman" w:cs="Times New Roman"/>
          <w:bCs/>
        </w:rPr>
      </w:pPr>
      <w:r w:rsidRPr="00B13A76">
        <w:rPr>
          <w:rFonts w:ascii="Times New Roman" w:hAnsi="Times New Roman" w:cs="Times New Roman"/>
          <w:bCs/>
        </w:rPr>
        <w:t xml:space="preserve">The components of the index are reconstituted and rebalanced semi-annually in accordance with the schedule portrayed in the diagram below: </w:t>
      </w:r>
    </w:p>
    <w:p w:rsidR="00A33683" w:rsidRPr="00B13A76" w:rsidRDefault="00A33683" w:rsidP="00E57201">
      <w:pPr>
        <w:keepNext/>
        <w:tabs>
          <w:tab w:val="left" w:pos="6774"/>
        </w:tabs>
        <w:spacing w:before="120"/>
        <w:ind w:right="43"/>
        <w:jc w:val="both"/>
        <w:rPr>
          <w:rFonts w:ascii="Times New Roman" w:hAnsi="Times New Roman" w:cs="Times New Roman"/>
          <w:bCs/>
        </w:rPr>
      </w:pPr>
    </w:p>
    <w:tbl>
      <w:tblPr>
        <w:tblW w:w="9280" w:type="dxa"/>
        <w:jc w:val="center"/>
        <w:tblLook w:val="04A0" w:firstRow="1" w:lastRow="0" w:firstColumn="1" w:lastColumn="0" w:noHBand="0" w:noVBand="1"/>
      </w:tblPr>
      <w:tblGrid>
        <w:gridCol w:w="2520"/>
        <w:gridCol w:w="860"/>
        <w:gridCol w:w="2520"/>
        <w:gridCol w:w="860"/>
        <w:gridCol w:w="2520"/>
      </w:tblGrid>
      <w:tr w:rsidR="00A33683" w:rsidRPr="00B13A76" w:rsidTr="00A33683">
        <w:trPr>
          <w:trHeight w:val="360"/>
          <w:jc w:val="center"/>
        </w:trPr>
        <w:tc>
          <w:tcPr>
            <w:tcW w:w="2520" w:type="dxa"/>
            <w:tcBorders>
              <w:top w:val="nil"/>
              <w:left w:val="nil"/>
              <w:bottom w:val="nil"/>
              <w:right w:val="nil"/>
            </w:tcBorders>
            <w:shd w:val="clear" w:color="auto" w:fill="auto"/>
            <w:noWrap/>
            <w:vAlign w:val="bottom"/>
            <w:hideMark/>
          </w:tcPr>
          <w:p w:rsidR="00A33683" w:rsidRPr="00B13A76" w:rsidRDefault="00A33683" w:rsidP="00A33683">
            <w:pPr>
              <w:jc w:val="center"/>
              <w:rPr>
                <w:rFonts w:ascii="Calibri" w:eastAsia="Times New Roman" w:hAnsi="Calibri" w:cs="Calibri"/>
                <w:b/>
                <w:bCs/>
                <w:sz w:val="28"/>
                <w:szCs w:val="28"/>
              </w:rPr>
            </w:pPr>
            <w:r w:rsidRPr="00B13A76">
              <w:rPr>
                <w:rFonts w:ascii="Calibri" w:eastAsia="Times New Roman" w:hAnsi="Calibri" w:cs="Calibri"/>
                <w:b/>
                <w:bCs/>
                <w:sz w:val="28"/>
                <w:szCs w:val="28"/>
              </w:rPr>
              <w:t>Jan. 2 – Apr. 30</w:t>
            </w:r>
          </w:p>
        </w:tc>
        <w:tc>
          <w:tcPr>
            <w:tcW w:w="860" w:type="dxa"/>
            <w:tcBorders>
              <w:top w:val="nil"/>
              <w:left w:val="nil"/>
              <w:bottom w:val="nil"/>
              <w:right w:val="nil"/>
            </w:tcBorders>
            <w:shd w:val="clear" w:color="auto" w:fill="auto"/>
            <w:noWrap/>
            <w:vAlign w:val="bottom"/>
            <w:hideMark/>
          </w:tcPr>
          <w:p w:rsidR="00A33683" w:rsidRPr="00B13A76"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B13A76" w:rsidRDefault="00A33683" w:rsidP="00A33683">
            <w:pPr>
              <w:jc w:val="center"/>
              <w:rPr>
                <w:rFonts w:ascii="Calibri" w:eastAsia="Times New Roman" w:hAnsi="Calibri" w:cs="Calibri"/>
                <w:b/>
                <w:bCs/>
                <w:sz w:val="28"/>
                <w:szCs w:val="28"/>
              </w:rPr>
            </w:pPr>
            <w:r w:rsidRPr="00B13A76">
              <w:rPr>
                <w:rFonts w:ascii="Calibri" w:eastAsia="Times New Roman" w:hAnsi="Calibri" w:cs="Calibri"/>
                <w:b/>
                <w:bCs/>
                <w:sz w:val="28"/>
                <w:szCs w:val="28"/>
              </w:rPr>
              <w:t>May 1 – Oct. 31</w:t>
            </w:r>
          </w:p>
        </w:tc>
        <w:tc>
          <w:tcPr>
            <w:tcW w:w="860" w:type="dxa"/>
            <w:tcBorders>
              <w:top w:val="nil"/>
              <w:left w:val="nil"/>
              <w:bottom w:val="nil"/>
              <w:right w:val="nil"/>
            </w:tcBorders>
            <w:shd w:val="clear" w:color="auto" w:fill="auto"/>
            <w:noWrap/>
            <w:vAlign w:val="bottom"/>
            <w:hideMark/>
          </w:tcPr>
          <w:p w:rsidR="00A33683" w:rsidRPr="00B13A76"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B13A76" w:rsidRDefault="00A33683" w:rsidP="00A33683">
            <w:pPr>
              <w:jc w:val="center"/>
              <w:rPr>
                <w:rFonts w:ascii="Calibri" w:eastAsia="Times New Roman" w:hAnsi="Calibri" w:cs="Calibri"/>
                <w:b/>
                <w:bCs/>
                <w:sz w:val="28"/>
                <w:szCs w:val="28"/>
              </w:rPr>
            </w:pPr>
            <w:r w:rsidRPr="00B13A76">
              <w:rPr>
                <w:rFonts w:ascii="Calibri" w:eastAsia="Times New Roman" w:hAnsi="Calibri" w:cs="Calibri"/>
                <w:b/>
                <w:bCs/>
                <w:sz w:val="28"/>
                <w:szCs w:val="28"/>
              </w:rPr>
              <w:t>Nov. 1 – Dec 31</w:t>
            </w:r>
          </w:p>
        </w:tc>
      </w:tr>
      <w:tr w:rsidR="00A33683" w:rsidRPr="00B13A76" w:rsidTr="00A33683">
        <w:trPr>
          <w:trHeight w:val="768"/>
          <w:jc w:val="center"/>
        </w:trPr>
        <w:tc>
          <w:tcPr>
            <w:tcW w:w="2520" w:type="dxa"/>
            <w:tcBorders>
              <w:top w:val="nil"/>
              <w:left w:val="nil"/>
              <w:bottom w:val="nil"/>
              <w:right w:val="nil"/>
            </w:tcBorders>
            <w:shd w:val="clear" w:color="auto" w:fill="auto"/>
            <w:vAlign w:val="bottom"/>
            <w:hideMark/>
          </w:tcPr>
          <w:p w:rsidR="00A33683" w:rsidRPr="00B13A76" w:rsidRDefault="00093BA1" w:rsidP="00A33683">
            <w:pPr>
              <w:jc w:val="center"/>
              <w:rPr>
                <w:rFonts w:ascii="Calibri" w:eastAsia="Times New Roman" w:hAnsi="Calibri" w:cs="Calibri"/>
                <w:b/>
                <w:bCs/>
                <w:sz w:val="16"/>
                <w:szCs w:val="16"/>
              </w:rPr>
            </w:pPr>
            <w:bookmarkStart w:id="3" w:name="OLE_LINK3"/>
            <w:bookmarkStart w:id="4" w:name="OLE_LINK4"/>
            <w:bookmarkStart w:id="5" w:name="OLE_LINK5"/>
            <w:bookmarkStart w:id="6" w:name="OLE_LINK20"/>
            <w:bookmarkStart w:id="7" w:name="OLE_LINK21"/>
            <w:r w:rsidRPr="00B13A76">
              <w:rPr>
                <w:rFonts w:ascii="Calibri" w:eastAsia="Times New Roman" w:hAnsi="Calibri" w:cs="Calibri"/>
                <w:b/>
                <w:bCs/>
                <w:sz w:val="16"/>
                <w:szCs w:val="16"/>
              </w:rPr>
              <w:t>(If the dates given above fall on the weekend, the holding period will begin the first business day of Jan. and the holding period will end the last business day of April.)</w:t>
            </w:r>
            <w:bookmarkEnd w:id="3"/>
            <w:bookmarkEnd w:id="4"/>
            <w:bookmarkEnd w:id="5"/>
            <w:bookmarkEnd w:id="6"/>
            <w:bookmarkEnd w:id="7"/>
          </w:p>
        </w:tc>
        <w:tc>
          <w:tcPr>
            <w:tcW w:w="860" w:type="dxa"/>
            <w:tcBorders>
              <w:top w:val="nil"/>
              <w:left w:val="nil"/>
              <w:bottom w:val="nil"/>
              <w:right w:val="nil"/>
            </w:tcBorders>
            <w:shd w:val="clear" w:color="auto" w:fill="auto"/>
            <w:noWrap/>
            <w:vAlign w:val="bottom"/>
            <w:hideMark/>
          </w:tcPr>
          <w:p w:rsidR="00A33683" w:rsidRPr="00B13A76"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B13A76" w:rsidRDefault="00093BA1" w:rsidP="00A33683">
            <w:pPr>
              <w:jc w:val="center"/>
              <w:rPr>
                <w:rFonts w:ascii="Calibri" w:eastAsia="Times New Roman" w:hAnsi="Calibri" w:cs="Calibri"/>
                <w:b/>
                <w:bCs/>
                <w:sz w:val="16"/>
                <w:szCs w:val="16"/>
              </w:rPr>
            </w:pPr>
            <w:bookmarkStart w:id="8" w:name="OLE_LINK6"/>
            <w:bookmarkStart w:id="9" w:name="OLE_LINK7"/>
            <w:bookmarkStart w:id="10" w:name="OLE_LINK8"/>
            <w:bookmarkStart w:id="11" w:name="OLE_LINK22"/>
            <w:r w:rsidRPr="00B13A76">
              <w:rPr>
                <w:rFonts w:ascii="Calibri" w:eastAsia="Times New Roman" w:hAnsi="Calibri" w:cs="Calibri"/>
                <w:b/>
                <w:bCs/>
                <w:sz w:val="16"/>
                <w:szCs w:val="16"/>
              </w:rPr>
              <w:t>(If the dates given above fall on the weekend, the holding period will begin the first business day of May and the holding period will end the last business day of Oct.)</w:t>
            </w:r>
            <w:bookmarkEnd w:id="8"/>
            <w:bookmarkEnd w:id="9"/>
            <w:bookmarkEnd w:id="10"/>
            <w:bookmarkEnd w:id="11"/>
          </w:p>
        </w:tc>
        <w:tc>
          <w:tcPr>
            <w:tcW w:w="860" w:type="dxa"/>
            <w:tcBorders>
              <w:top w:val="nil"/>
              <w:left w:val="nil"/>
              <w:bottom w:val="nil"/>
              <w:right w:val="nil"/>
            </w:tcBorders>
            <w:shd w:val="clear" w:color="auto" w:fill="auto"/>
            <w:noWrap/>
            <w:vAlign w:val="bottom"/>
            <w:hideMark/>
          </w:tcPr>
          <w:p w:rsidR="00A33683" w:rsidRPr="00B13A76"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B13A76" w:rsidRDefault="00093BA1" w:rsidP="00A33683">
            <w:pPr>
              <w:jc w:val="center"/>
              <w:rPr>
                <w:rFonts w:ascii="Calibri" w:eastAsia="Times New Roman" w:hAnsi="Calibri" w:cs="Calibri"/>
                <w:b/>
                <w:bCs/>
                <w:sz w:val="16"/>
                <w:szCs w:val="16"/>
              </w:rPr>
            </w:pPr>
            <w:bookmarkStart w:id="12" w:name="OLE_LINK9"/>
            <w:bookmarkStart w:id="13" w:name="OLE_LINK10"/>
            <w:bookmarkStart w:id="14" w:name="OLE_LINK14"/>
            <w:bookmarkStart w:id="15" w:name="OLE_LINK23"/>
            <w:bookmarkStart w:id="16" w:name="OLE_LINK24"/>
            <w:r w:rsidRPr="00B13A76">
              <w:rPr>
                <w:rFonts w:ascii="Calibri" w:eastAsia="Times New Roman" w:hAnsi="Calibri" w:cs="Calibri"/>
                <w:b/>
                <w:bCs/>
                <w:sz w:val="16"/>
                <w:szCs w:val="16"/>
              </w:rPr>
              <w:t>(If the dates given above fall on the weekend, the holding period will begin the first business day of Nov. and the holding period will end the last business day of Dec.)</w:t>
            </w:r>
            <w:bookmarkEnd w:id="12"/>
            <w:bookmarkEnd w:id="13"/>
            <w:bookmarkEnd w:id="14"/>
            <w:bookmarkEnd w:id="15"/>
            <w:bookmarkEnd w:id="16"/>
          </w:p>
        </w:tc>
      </w:tr>
      <w:tr w:rsidR="00A33683" w:rsidRPr="00B13A76" w:rsidTr="00A33683">
        <w:trPr>
          <w:trHeight w:val="330"/>
          <w:jc w:val="center"/>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B13A76" w:rsidRDefault="00A33683" w:rsidP="00A33683">
            <w:pPr>
              <w:jc w:val="center"/>
              <w:rPr>
                <w:rFonts w:ascii="Calibri" w:eastAsia="Times New Roman" w:hAnsi="Calibri" w:cs="Calibri"/>
                <w:b/>
                <w:bCs/>
                <w:sz w:val="28"/>
                <w:szCs w:val="28"/>
              </w:rPr>
            </w:pPr>
            <w:r w:rsidRPr="00B13A76">
              <w:rPr>
                <w:rFonts w:ascii="Calibri" w:eastAsia="Times New Roman" w:hAnsi="Calibri" w:cs="Calibri"/>
                <w:b/>
                <w:bCs/>
                <w:sz w:val="28"/>
                <w:szCs w:val="28"/>
              </w:rPr>
              <w:t>Rebalance: Last Business Day of Apr.</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B13A76" w:rsidRDefault="00A33683" w:rsidP="00A33683">
            <w:pPr>
              <w:jc w:val="center"/>
              <w:rPr>
                <w:rFonts w:ascii="Calibri" w:eastAsia="Times New Roman" w:hAnsi="Calibri" w:cs="Calibri"/>
                <w:b/>
                <w:bCs/>
                <w:sz w:val="28"/>
                <w:szCs w:val="28"/>
              </w:rPr>
            </w:pPr>
            <w:r w:rsidRPr="00B13A76">
              <w:rPr>
                <w:rFonts w:ascii="Calibri" w:eastAsia="Times New Roman" w:hAnsi="Calibri" w:cs="Calibri"/>
                <w:b/>
                <w:bCs/>
                <w:sz w:val="28"/>
                <w:szCs w:val="28"/>
              </w:rPr>
              <w:t>Rebalance: Last Business Day of Oct.</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Sector Holdings</w:t>
            </w:r>
          </w:p>
        </w:tc>
      </w:tr>
      <w:tr w:rsidR="00A33683" w:rsidRPr="00B13A76"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Consumer Discretionary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nil"/>
              <w:right w:val="single" w:sz="8" w:space="0" w:color="auto"/>
            </w:tcBorders>
            <w:shd w:val="clear" w:color="auto" w:fill="auto"/>
            <w:noWrap/>
            <w:vAlign w:val="center"/>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Consumer Staples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Consumer Discretionary</w:t>
            </w:r>
          </w:p>
        </w:tc>
      </w:tr>
      <w:tr w:rsidR="00A33683" w:rsidRPr="00B13A76"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Industrials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nil"/>
              <w:right w:val="single" w:sz="8" w:space="0" w:color="auto"/>
            </w:tcBorders>
            <w:vAlign w:val="center"/>
            <w:hideMark/>
          </w:tcPr>
          <w:p w:rsidR="00A33683" w:rsidRPr="00B13A76"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Industrials</w:t>
            </w:r>
          </w:p>
        </w:tc>
      </w:tr>
      <w:tr w:rsidR="00A33683" w:rsidRPr="00B13A76"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Information Technology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Healthcare</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Information Technology</w:t>
            </w:r>
          </w:p>
        </w:tc>
      </w:tr>
      <w:tr w:rsidR="00A33683" w:rsidRPr="00B13A76"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Materials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13A76" w:rsidRDefault="00A33683" w:rsidP="00A33683">
            <w:pPr>
              <w:jc w:val="center"/>
              <w:rPr>
                <w:rFonts w:ascii="Calibri" w:eastAsia="Times New Roman" w:hAnsi="Calibri" w:cs="Calibri"/>
                <w:b/>
                <w:bCs/>
                <w:sz w:val="22"/>
                <w:szCs w:val="22"/>
              </w:rPr>
            </w:pPr>
            <w:r w:rsidRPr="00B13A76">
              <w:rPr>
                <w:rFonts w:ascii="Calibri" w:eastAsia="Times New Roman" w:hAnsi="Calibri" w:cs="Calibri"/>
                <w:b/>
                <w:bCs/>
                <w:sz w:val="22"/>
                <w:szCs w:val="22"/>
              </w:rPr>
              <w:t>Materials</w:t>
            </w:r>
          </w:p>
        </w:tc>
      </w:tr>
      <w:tr w:rsidR="00A33683" w:rsidRPr="00B13A76" w:rsidTr="00A33683">
        <w:trPr>
          <w:trHeight w:val="324"/>
          <w:jc w:val="center"/>
        </w:trPr>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B13A76" w:rsidRDefault="00A33683" w:rsidP="00A33683">
            <w:pPr>
              <w:jc w:val="center"/>
              <w:rPr>
                <w:rFonts w:ascii="Calibri" w:eastAsia="Times New Roman" w:hAnsi="Calibri" w:cs="Calibri"/>
                <w:b/>
                <w:bCs/>
              </w:rPr>
            </w:pPr>
            <w:r w:rsidRPr="00B13A76">
              <w:rPr>
                <w:rFonts w:ascii="Calibri" w:eastAsia="Times New Roman" w:hAnsi="Calibri" w:cs="Calibri"/>
                <w:b/>
                <w:bCs/>
              </w:rPr>
              <w:t>Equal Weighted</w:t>
            </w:r>
          </w:p>
        </w:tc>
      </w:tr>
      <w:tr w:rsidR="00A33683" w:rsidRPr="00B13A76" w:rsidTr="00A33683">
        <w:trPr>
          <w:trHeight w:val="1416"/>
          <w:jc w:val="center"/>
        </w:trPr>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sz w:val="28"/>
                <w:szCs w:val="28"/>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B13A76" w:rsidRDefault="00A33683" w:rsidP="00A33683">
            <w:pPr>
              <w:rPr>
                <w:rFonts w:ascii="Calibri" w:eastAsia="Times New Roman" w:hAnsi="Calibri" w:cs="Calibri"/>
                <w:b/>
                <w:bCs/>
              </w:rPr>
            </w:pPr>
          </w:p>
        </w:tc>
      </w:tr>
    </w:tbl>
    <w:p w:rsidR="001306ED" w:rsidRDefault="001306ED" w:rsidP="00AA79A4">
      <w:pPr>
        <w:rPr>
          <w:rFonts w:ascii="Times New Roman" w:hAnsi="Times New Roman" w:cs="Times New Roman"/>
          <w:bCs/>
        </w:rPr>
      </w:pPr>
    </w:p>
    <w:p w:rsidR="00AA79A4" w:rsidRPr="00B13A76" w:rsidRDefault="00AA79A4" w:rsidP="00AA79A4">
      <w:pPr>
        <w:rPr>
          <w:rFonts w:ascii="Times New Roman" w:hAnsi="Times New Roman" w:cs="Times New Roman"/>
          <w:b/>
        </w:rPr>
      </w:pPr>
      <w:r w:rsidRPr="00B13A76">
        <w:rPr>
          <w:rFonts w:ascii="Times New Roman" w:hAnsi="Times New Roman" w:cs="Times New Roman"/>
          <w:b/>
        </w:rPr>
        <w:t>Index Construction</w:t>
      </w:r>
    </w:p>
    <w:p w:rsidR="00700648" w:rsidRPr="00B13A76" w:rsidRDefault="00700648" w:rsidP="00B53649">
      <w:pPr>
        <w:rPr>
          <w:rFonts w:ascii="Times New Roman" w:hAnsi="Times New Roman" w:cs="Times New Roman"/>
          <w:b/>
          <w:bCs/>
          <w:i/>
        </w:rPr>
      </w:pPr>
    </w:p>
    <w:p w:rsidR="000F052F" w:rsidRPr="00B13A76" w:rsidRDefault="00AA79A4" w:rsidP="000F052F">
      <w:pPr>
        <w:rPr>
          <w:rFonts w:ascii="Times New Roman" w:hAnsi="Times New Roman" w:cs="Times New Roman"/>
          <w:bCs/>
        </w:rPr>
      </w:pPr>
      <w:r w:rsidRPr="00B13A76">
        <w:rPr>
          <w:rFonts w:ascii="Times New Roman" w:hAnsi="Times New Roman" w:cs="Times New Roman"/>
          <w:bCs/>
        </w:rPr>
        <w:t>The index is recons</w:t>
      </w:r>
      <w:r w:rsidR="007C4A04" w:rsidRPr="00B13A76">
        <w:rPr>
          <w:rFonts w:ascii="Times New Roman" w:hAnsi="Times New Roman" w:cs="Times New Roman"/>
          <w:bCs/>
        </w:rPr>
        <w:t>tituted and rebalanced semiannually</w:t>
      </w:r>
      <w:r w:rsidR="00490277" w:rsidRPr="00B13A76">
        <w:rPr>
          <w:rFonts w:ascii="Times New Roman" w:hAnsi="Times New Roman" w:cs="Times New Roman"/>
          <w:bCs/>
        </w:rPr>
        <w:t xml:space="preserve"> (April and October)</w:t>
      </w:r>
      <w:r w:rsidRPr="00B13A76">
        <w:rPr>
          <w:rFonts w:ascii="Times New Roman" w:hAnsi="Times New Roman" w:cs="Times New Roman"/>
          <w:bCs/>
        </w:rPr>
        <w:t xml:space="preserve">. </w:t>
      </w:r>
    </w:p>
    <w:p w:rsidR="000F052F" w:rsidRPr="00B13A76" w:rsidRDefault="000F052F" w:rsidP="000F052F">
      <w:pPr>
        <w:rPr>
          <w:rFonts w:ascii="Times New Roman" w:hAnsi="Times New Roman" w:cs="Times New Roman"/>
          <w:bCs/>
        </w:rPr>
      </w:pPr>
    </w:p>
    <w:p w:rsidR="00976F26" w:rsidRPr="00B13A76" w:rsidRDefault="00A33683" w:rsidP="000F052F">
      <w:pPr>
        <w:rPr>
          <w:rFonts w:ascii="Times New Roman" w:hAnsi="Times New Roman" w:cs="Times New Roman"/>
          <w:bCs/>
        </w:rPr>
      </w:pPr>
      <w:r w:rsidRPr="00B13A76">
        <w:rPr>
          <w:rFonts w:ascii="Times New Roman" w:hAnsi="Times New Roman" w:cs="Times New Roman"/>
          <w:bCs/>
        </w:rPr>
        <w:t xml:space="preserve">On the last business day of every April, the index is equally weighted in the S&amp;P </w:t>
      </w:r>
      <w:r w:rsidR="0090445A" w:rsidRPr="00B13A76">
        <w:rPr>
          <w:rFonts w:ascii="Times New Roman" w:hAnsi="Times New Roman" w:cs="Times New Roman"/>
          <w:bCs/>
        </w:rPr>
        <w:t>SmallCap 6</w:t>
      </w:r>
      <w:r w:rsidRPr="00B13A76">
        <w:rPr>
          <w:rFonts w:ascii="Times New Roman" w:hAnsi="Times New Roman" w:cs="Times New Roman"/>
          <w:bCs/>
        </w:rPr>
        <w:t xml:space="preserve">00 Consumer Staples and Healthcare Sectors. These holdings will float until the last business day of </w:t>
      </w:r>
      <w:r w:rsidR="000F052F" w:rsidRPr="00B13A76">
        <w:rPr>
          <w:rFonts w:ascii="Times New Roman" w:hAnsi="Times New Roman" w:cs="Times New Roman"/>
          <w:bCs/>
        </w:rPr>
        <w:t xml:space="preserve">October, when the index will be reconstituted and rebalanced to an equal weighting of the S&amp;P </w:t>
      </w:r>
      <w:r w:rsidR="0090445A" w:rsidRPr="00B13A76">
        <w:rPr>
          <w:rFonts w:ascii="Times New Roman" w:hAnsi="Times New Roman" w:cs="Times New Roman"/>
          <w:bCs/>
        </w:rPr>
        <w:t>SmallCap 6</w:t>
      </w:r>
      <w:r w:rsidR="000F052F" w:rsidRPr="00B13A76">
        <w:rPr>
          <w:rFonts w:ascii="Times New Roman" w:hAnsi="Times New Roman" w:cs="Times New Roman"/>
          <w:bCs/>
        </w:rPr>
        <w:t xml:space="preserve">00 Consumer Discretionary, Industrials, Information Technology and Materials sectors. These holdings will float until </w:t>
      </w:r>
      <w:r w:rsidR="000F052F" w:rsidRPr="00B13A76">
        <w:rPr>
          <w:rFonts w:ascii="Times New Roman" w:hAnsi="Times New Roman" w:cs="Times New Roman"/>
          <w:bCs/>
        </w:rPr>
        <w:lastRenderedPageBreak/>
        <w:t xml:space="preserve">the following April next year, when the index is reconstituted and rebalanced back to an equal weighting in the S&amp;P </w:t>
      </w:r>
      <w:r w:rsidR="0090445A" w:rsidRPr="00B13A76">
        <w:rPr>
          <w:rFonts w:ascii="Times New Roman" w:hAnsi="Times New Roman" w:cs="Times New Roman"/>
          <w:bCs/>
        </w:rPr>
        <w:t>SmallCap 6</w:t>
      </w:r>
      <w:r w:rsidR="000F052F" w:rsidRPr="00B13A76">
        <w:rPr>
          <w:rFonts w:ascii="Times New Roman" w:hAnsi="Times New Roman" w:cs="Times New Roman"/>
          <w:bCs/>
        </w:rPr>
        <w:t xml:space="preserve">00 Consumer Staples and Healthcare Sectors on the last business day of April.    </w:t>
      </w:r>
    </w:p>
    <w:p w:rsidR="000F052F" w:rsidRPr="00B13A76" w:rsidRDefault="000F052F" w:rsidP="00837840">
      <w:pPr>
        <w:rPr>
          <w:rFonts w:ascii="Times New Roman" w:hAnsi="Times New Roman" w:cs="Times New Roman"/>
          <w:bCs/>
          <w:color w:val="FF0000"/>
        </w:rPr>
      </w:pPr>
    </w:p>
    <w:p w:rsidR="00837840" w:rsidRPr="00B13A76" w:rsidRDefault="00837840" w:rsidP="00837840">
      <w:pPr>
        <w:rPr>
          <w:rFonts w:ascii="Times New Roman" w:hAnsi="Times New Roman" w:cs="Times New Roman"/>
          <w:bCs/>
          <w:color w:val="FF0000"/>
        </w:rPr>
      </w:pPr>
      <w:r w:rsidRPr="00B13A76">
        <w:rPr>
          <w:rFonts w:ascii="Times New Roman" w:hAnsi="Times New Roman" w:cs="Times New Roman"/>
          <w:b/>
        </w:rPr>
        <w:t>Index Data Source</w:t>
      </w:r>
    </w:p>
    <w:p w:rsidR="00837840" w:rsidRDefault="00837840" w:rsidP="00837840">
      <w:pPr>
        <w:rPr>
          <w:rFonts w:ascii="Times New Roman" w:hAnsi="Times New Roman" w:cs="Times New Roman"/>
        </w:rPr>
      </w:pPr>
    </w:p>
    <w:p w:rsidR="00D2646D" w:rsidRDefault="00D2646D" w:rsidP="00837840">
      <w:pPr>
        <w:rPr>
          <w:rFonts w:ascii="Times New Roman" w:hAnsi="Times New Roman" w:cs="Times New Roman"/>
        </w:rPr>
      </w:pPr>
      <w:r w:rsidRPr="00D2646D">
        <w:rPr>
          <w:rFonts w:ascii="Times New Roman" w:hAnsi="Times New Roman" w:cs="Times New Roman"/>
        </w:rPr>
        <w:t>Data used to reconstitute and rebalance the Index will be sourced by SPDJI.</w:t>
      </w:r>
    </w:p>
    <w:p w:rsidR="00D2646D" w:rsidRPr="00B13A76" w:rsidRDefault="00D2646D" w:rsidP="00837840">
      <w:pPr>
        <w:rPr>
          <w:rFonts w:ascii="Times New Roman" w:hAnsi="Times New Roman" w:cs="Times New Roman"/>
        </w:rPr>
      </w:pPr>
    </w:p>
    <w:p w:rsidR="00837840" w:rsidRPr="00B13A76" w:rsidRDefault="00837840" w:rsidP="00837840">
      <w:pPr>
        <w:rPr>
          <w:rFonts w:ascii="Times New Roman" w:hAnsi="Times New Roman" w:cs="Times New Roman"/>
          <w:b/>
        </w:rPr>
      </w:pPr>
      <w:r w:rsidRPr="00B13A76">
        <w:rPr>
          <w:rFonts w:ascii="Times New Roman" w:hAnsi="Times New Roman" w:cs="Times New Roman"/>
          <w:b/>
        </w:rPr>
        <w:t xml:space="preserve">Index Review </w:t>
      </w:r>
      <w:r w:rsidR="00976F26" w:rsidRPr="00B13A76">
        <w:rPr>
          <w:rFonts w:ascii="Times New Roman" w:hAnsi="Times New Roman" w:cs="Times New Roman"/>
          <w:b/>
        </w:rPr>
        <w:t>and Rebalance Period</w:t>
      </w:r>
    </w:p>
    <w:p w:rsidR="009C12A8" w:rsidRPr="00B13A76" w:rsidRDefault="001963D4" w:rsidP="00837840">
      <w:pPr>
        <w:rPr>
          <w:rFonts w:ascii="Times New Roman" w:hAnsi="Times New Roman" w:cs="Times New Roman"/>
        </w:rPr>
      </w:pPr>
      <w:r w:rsidRPr="00B13A76">
        <w:rPr>
          <w:rFonts w:ascii="Times New Roman" w:hAnsi="Times New Roman" w:cs="Times New Roman"/>
        </w:rPr>
        <w:t>The index’s moving days occur on the last business day of October and Apr</w:t>
      </w:r>
      <w:r w:rsidR="009C12A8" w:rsidRPr="00B13A76">
        <w:rPr>
          <w:rFonts w:ascii="Times New Roman" w:hAnsi="Times New Roman" w:cs="Times New Roman"/>
        </w:rPr>
        <w:t xml:space="preserve">il. During moving days, </w:t>
      </w:r>
      <w:r w:rsidRPr="00B13A76">
        <w:rPr>
          <w:rFonts w:ascii="Times New Roman" w:hAnsi="Times New Roman" w:cs="Times New Roman"/>
        </w:rPr>
        <w:t>the index’s exposure will be the</w:t>
      </w:r>
      <w:r w:rsidR="009C12A8" w:rsidRPr="00B13A76">
        <w:rPr>
          <w:rFonts w:ascii="Times New Roman" w:hAnsi="Times New Roman" w:cs="Times New Roman"/>
        </w:rPr>
        <w:t xml:space="preserve"> same as the previous day.</w:t>
      </w:r>
    </w:p>
    <w:p w:rsidR="00976F26" w:rsidRPr="00B13A76" w:rsidRDefault="00976F26" w:rsidP="00837840">
      <w:pPr>
        <w:rPr>
          <w:rFonts w:ascii="Times New Roman" w:hAnsi="Times New Roman" w:cs="Times New Roman"/>
        </w:rPr>
      </w:pPr>
    </w:p>
    <w:p w:rsidR="00837840" w:rsidRPr="00B13A76" w:rsidRDefault="00837840" w:rsidP="0090445A">
      <w:pPr>
        <w:pStyle w:val="ListParagraph"/>
        <w:numPr>
          <w:ilvl w:val="0"/>
          <w:numId w:val="8"/>
        </w:numPr>
        <w:contextualSpacing w:val="0"/>
        <w:rPr>
          <w:rFonts w:ascii="Times New Roman" w:hAnsi="Times New Roman" w:cs="Times New Roman"/>
          <w:sz w:val="24"/>
          <w:szCs w:val="24"/>
        </w:rPr>
      </w:pPr>
      <w:r w:rsidRPr="002B278B">
        <w:rPr>
          <w:rFonts w:ascii="Times New Roman" w:hAnsi="Times New Roman" w:cs="Times New Roman"/>
          <w:b/>
          <w:sz w:val="24"/>
          <w:szCs w:val="24"/>
        </w:rPr>
        <w:t xml:space="preserve">CFRA-Stovall </w:t>
      </w:r>
      <w:r w:rsidR="000F6323" w:rsidRPr="002B278B">
        <w:rPr>
          <w:rFonts w:ascii="Times New Roman" w:hAnsi="Times New Roman" w:cs="Times New Roman"/>
          <w:b/>
          <w:sz w:val="24"/>
          <w:szCs w:val="24"/>
        </w:rPr>
        <w:t xml:space="preserve">Small Cap </w:t>
      </w:r>
      <w:r w:rsidRPr="002B278B">
        <w:rPr>
          <w:rFonts w:ascii="Times New Roman" w:hAnsi="Times New Roman" w:cs="Times New Roman"/>
          <w:b/>
          <w:sz w:val="24"/>
          <w:szCs w:val="24"/>
        </w:rPr>
        <w:t xml:space="preserve">Seasonal Rotation </w:t>
      </w:r>
      <w:r w:rsidR="00225875" w:rsidRPr="00B13A76">
        <w:rPr>
          <w:rFonts w:ascii="Times New Roman" w:hAnsi="Times New Roman" w:cs="Times New Roman"/>
          <w:b/>
          <w:sz w:val="24"/>
          <w:szCs w:val="24"/>
        </w:rPr>
        <w:t xml:space="preserve">pro forma </w:t>
      </w:r>
      <w:r w:rsidRPr="00B13A76">
        <w:rPr>
          <w:rFonts w:ascii="Times New Roman" w:hAnsi="Times New Roman" w:cs="Times New Roman"/>
          <w:b/>
          <w:sz w:val="24"/>
          <w:szCs w:val="24"/>
        </w:rPr>
        <w:t>reference date</w:t>
      </w:r>
      <w:r w:rsidRPr="00B13A76">
        <w:rPr>
          <w:rFonts w:ascii="Times New Roman" w:hAnsi="Times New Roman" w:cs="Times New Roman"/>
          <w:sz w:val="24"/>
          <w:szCs w:val="24"/>
        </w:rPr>
        <w:t>: All data p</w:t>
      </w:r>
      <w:r w:rsidR="00541292" w:rsidRPr="00B13A76">
        <w:rPr>
          <w:rFonts w:ascii="Times New Roman" w:hAnsi="Times New Roman" w:cs="Times New Roman"/>
          <w:sz w:val="24"/>
          <w:szCs w:val="24"/>
        </w:rPr>
        <w:t>oints, including any index and price</w:t>
      </w:r>
      <w:r w:rsidRPr="00B13A76">
        <w:rPr>
          <w:rFonts w:ascii="Times New Roman" w:hAnsi="Times New Roman" w:cs="Times New Roman"/>
          <w:sz w:val="24"/>
          <w:szCs w:val="24"/>
        </w:rPr>
        <w:t xml:space="preserve"> data downloads, will be captured Close of the</w:t>
      </w:r>
      <w:r w:rsidR="00541292" w:rsidRPr="00B13A76">
        <w:rPr>
          <w:rFonts w:ascii="Times New Roman" w:hAnsi="Times New Roman" w:cs="Times New Roman"/>
          <w:sz w:val="24"/>
          <w:szCs w:val="24"/>
        </w:rPr>
        <w:t xml:space="preserve"> 3</w:t>
      </w:r>
      <w:r w:rsidR="00541292" w:rsidRPr="00B13A76">
        <w:rPr>
          <w:rFonts w:ascii="Times New Roman" w:hAnsi="Times New Roman" w:cs="Times New Roman"/>
          <w:sz w:val="24"/>
          <w:szCs w:val="24"/>
          <w:vertAlign w:val="superscript"/>
        </w:rPr>
        <w:t>rd</w:t>
      </w:r>
      <w:r w:rsidR="00541292" w:rsidRPr="00B13A76">
        <w:rPr>
          <w:rFonts w:ascii="Times New Roman" w:hAnsi="Times New Roman" w:cs="Times New Roman"/>
          <w:sz w:val="24"/>
          <w:szCs w:val="24"/>
        </w:rPr>
        <w:t xml:space="preserve"> to last business day of each Rebalance Month (October and April</w:t>
      </w:r>
      <w:r w:rsidRPr="00B13A76">
        <w:rPr>
          <w:rFonts w:ascii="Times New Roman" w:hAnsi="Times New Roman" w:cs="Times New Roman"/>
          <w:sz w:val="24"/>
          <w:szCs w:val="24"/>
        </w:rPr>
        <w:t>). Prices will be used as of this date to weight the index and calculate index shares.</w:t>
      </w:r>
    </w:p>
    <w:p w:rsidR="00837840" w:rsidRPr="00B13A76" w:rsidRDefault="00837840" w:rsidP="00677EAC">
      <w:pPr>
        <w:rPr>
          <w:rFonts w:ascii="Times New Roman" w:hAnsi="Times New Roman" w:cs="Times New Roman"/>
          <w:b/>
          <w:bCs/>
        </w:rPr>
      </w:pPr>
    </w:p>
    <w:p w:rsidR="00837840" w:rsidRPr="00B13A76" w:rsidRDefault="00541292" w:rsidP="00837840">
      <w:pPr>
        <w:pStyle w:val="ListParagraph"/>
        <w:numPr>
          <w:ilvl w:val="0"/>
          <w:numId w:val="8"/>
        </w:numPr>
        <w:contextualSpacing w:val="0"/>
        <w:rPr>
          <w:rFonts w:ascii="Times New Roman" w:hAnsi="Times New Roman" w:cs="Times New Roman"/>
          <w:sz w:val="24"/>
          <w:szCs w:val="24"/>
        </w:rPr>
      </w:pPr>
      <w:r w:rsidRPr="002B278B">
        <w:rPr>
          <w:rFonts w:ascii="Times New Roman" w:hAnsi="Times New Roman" w:cs="Times New Roman"/>
          <w:b/>
          <w:bCs/>
          <w:sz w:val="24"/>
          <w:szCs w:val="24"/>
        </w:rPr>
        <w:t xml:space="preserve">CFRA-Stovall </w:t>
      </w:r>
      <w:r w:rsidR="000F6323" w:rsidRPr="002B278B">
        <w:rPr>
          <w:rFonts w:ascii="Times New Roman" w:hAnsi="Times New Roman" w:cs="Times New Roman"/>
          <w:b/>
          <w:bCs/>
          <w:sz w:val="24"/>
          <w:szCs w:val="24"/>
        </w:rPr>
        <w:t xml:space="preserve">Small Cap </w:t>
      </w:r>
      <w:r w:rsidRPr="002B278B">
        <w:rPr>
          <w:rFonts w:ascii="Times New Roman" w:hAnsi="Times New Roman" w:cs="Times New Roman"/>
          <w:b/>
          <w:bCs/>
          <w:sz w:val="24"/>
          <w:szCs w:val="24"/>
        </w:rPr>
        <w:t>Seasonal Rotation</w:t>
      </w:r>
      <w:r w:rsidR="00837840" w:rsidRPr="002B278B">
        <w:rPr>
          <w:rFonts w:ascii="Times New Roman" w:hAnsi="Times New Roman" w:cs="Times New Roman"/>
          <w:b/>
          <w:bCs/>
          <w:sz w:val="24"/>
          <w:szCs w:val="24"/>
        </w:rPr>
        <w:t xml:space="preserve"> </w:t>
      </w:r>
      <w:r w:rsidR="00837840" w:rsidRPr="00B13A76">
        <w:rPr>
          <w:rFonts w:ascii="Times New Roman" w:hAnsi="Times New Roman" w:cs="Times New Roman"/>
          <w:b/>
          <w:bCs/>
          <w:sz w:val="24"/>
          <w:szCs w:val="24"/>
        </w:rPr>
        <w:t>rebalance date</w:t>
      </w:r>
      <w:r w:rsidR="00837840" w:rsidRPr="00B13A76">
        <w:rPr>
          <w:rFonts w:ascii="Times New Roman" w:hAnsi="Times New Roman" w:cs="Times New Roman"/>
          <w:sz w:val="24"/>
          <w:szCs w:val="24"/>
        </w:rPr>
        <w:t>: The index will</w:t>
      </w:r>
      <w:r w:rsidRPr="00B13A76">
        <w:rPr>
          <w:rFonts w:ascii="Times New Roman" w:hAnsi="Times New Roman" w:cs="Times New Roman"/>
          <w:sz w:val="24"/>
          <w:szCs w:val="24"/>
        </w:rPr>
        <w:t xml:space="preserve"> rebalance at the close of the last business day of each rebalance month (October and April</w:t>
      </w:r>
      <w:r w:rsidR="00837840" w:rsidRPr="00B13A76">
        <w:rPr>
          <w:rFonts w:ascii="Times New Roman" w:hAnsi="Times New Roman" w:cs="Times New Roman"/>
          <w:sz w:val="24"/>
          <w:szCs w:val="24"/>
        </w:rPr>
        <w:t xml:space="preserve">) effective for </w:t>
      </w:r>
      <w:r w:rsidRPr="00B13A76">
        <w:rPr>
          <w:rFonts w:ascii="Times New Roman" w:hAnsi="Times New Roman" w:cs="Times New Roman"/>
          <w:sz w:val="24"/>
          <w:szCs w:val="24"/>
        </w:rPr>
        <w:t>the open on the following business day</w:t>
      </w:r>
      <w:r w:rsidR="00837840" w:rsidRPr="00B13A76">
        <w:rPr>
          <w:rFonts w:ascii="Times New Roman" w:hAnsi="Times New Roman" w:cs="Times New Roman"/>
          <w:sz w:val="24"/>
          <w:szCs w:val="24"/>
        </w:rPr>
        <w:t xml:space="preserve">. </w:t>
      </w:r>
    </w:p>
    <w:p w:rsidR="00837840" w:rsidRPr="00B13A76" w:rsidRDefault="00837840" w:rsidP="00677EAC">
      <w:pPr>
        <w:rPr>
          <w:rFonts w:ascii="Times New Roman" w:hAnsi="Times New Roman" w:cs="Times New Roman"/>
          <w:b/>
          <w:bCs/>
        </w:rPr>
      </w:pPr>
    </w:p>
    <w:p w:rsidR="00A31EA9" w:rsidRPr="00B13A76" w:rsidRDefault="00A31EA9" w:rsidP="00A31EA9">
      <w:pPr>
        <w:spacing w:after="120"/>
        <w:jc w:val="both"/>
        <w:rPr>
          <w:rFonts w:ascii="Times New Roman" w:hAnsi="Times New Roman" w:cs="Times New Roman"/>
          <w:b/>
          <w:lang w:eastAsia="zh-CN"/>
        </w:rPr>
      </w:pPr>
      <w:r w:rsidRPr="00B13A76">
        <w:rPr>
          <w:rFonts w:ascii="Times New Roman" w:hAnsi="Times New Roman" w:cs="Times New Roman"/>
          <w:b/>
          <w:lang w:eastAsia="zh-CN"/>
        </w:rPr>
        <w:t>Index Calculation Agent</w:t>
      </w:r>
    </w:p>
    <w:p w:rsidR="00A31EA9" w:rsidRPr="00B13A76" w:rsidRDefault="00A31EA9" w:rsidP="00A31EA9">
      <w:pPr>
        <w:pStyle w:val="BodyText"/>
        <w:kinsoku w:val="0"/>
        <w:overflowPunct w:val="0"/>
        <w:spacing w:line="242" w:lineRule="auto"/>
        <w:ind w:left="0" w:right="218" w:firstLine="0"/>
        <w:rPr>
          <w:rFonts w:ascii="Times New Roman" w:hAnsi="Times New Roman" w:cs="Times New Roman"/>
          <w:sz w:val="24"/>
          <w:szCs w:val="24"/>
        </w:rPr>
      </w:pPr>
      <w:r w:rsidRPr="00B13A76">
        <w:rPr>
          <w:rFonts w:ascii="Times New Roman" w:hAnsi="Times New Roman" w:cs="Times New Roman"/>
          <w:sz w:val="24"/>
          <w:szCs w:val="24"/>
        </w:rPr>
        <w:t>S&amp;P Dow Jones Indices or another party designated by the Index Sponsor (as defined below), will act as</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calculation</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agent</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w:t>
      </w:r>
      <w:r w:rsidRPr="00B13A76">
        <w:rPr>
          <w:rFonts w:ascii="Times New Roman" w:hAnsi="Times New Roman" w:cs="Times New Roman"/>
          <w:b/>
          <w:bCs/>
          <w:sz w:val="24"/>
          <w:szCs w:val="24"/>
        </w:rPr>
        <w:t>Index</w:t>
      </w:r>
      <w:r w:rsidR="00F568A4" w:rsidRPr="00B13A76">
        <w:rPr>
          <w:rFonts w:ascii="Times New Roman" w:hAnsi="Times New Roman" w:cs="Times New Roman"/>
          <w:b/>
          <w:bCs/>
          <w:sz w:val="24"/>
          <w:szCs w:val="24"/>
        </w:rPr>
        <w:t xml:space="preserve"> </w:t>
      </w:r>
      <w:r w:rsidRPr="00B13A76">
        <w:rPr>
          <w:rFonts w:ascii="Times New Roman" w:hAnsi="Times New Roman" w:cs="Times New Roman"/>
          <w:b/>
          <w:bCs/>
          <w:sz w:val="24"/>
          <w:szCs w:val="24"/>
        </w:rPr>
        <w:t>calculation</w:t>
      </w:r>
      <w:r w:rsidR="00F568A4" w:rsidRPr="00B13A76">
        <w:rPr>
          <w:rFonts w:ascii="Times New Roman" w:hAnsi="Times New Roman" w:cs="Times New Roman"/>
          <w:b/>
          <w:bCs/>
          <w:sz w:val="24"/>
          <w:szCs w:val="24"/>
        </w:rPr>
        <w:t xml:space="preserve"> </w:t>
      </w:r>
      <w:r w:rsidRPr="00B13A76">
        <w:rPr>
          <w:rFonts w:ascii="Times New Roman" w:hAnsi="Times New Roman" w:cs="Times New Roman"/>
          <w:b/>
          <w:bCs/>
          <w:sz w:val="24"/>
          <w:szCs w:val="24"/>
        </w:rPr>
        <w:t>agent</w:t>
      </w:r>
      <w:r w:rsidRPr="00B13A76">
        <w:rPr>
          <w:rFonts w:ascii="Times New Roman" w:hAnsi="Times New Roman" w:cs="Times New Roman"/>
          <w:sz w:val="24"/>
          <w:szCs w:val="24"/>
        </w:rPr>
        <w:t>”)</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and</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will</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be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responsible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t>
      </w:r>
      <w:r w:rsidR="00F568A4" w:rsidRPr="00B13A76">
        <w:rPr>
          <w:rFonts w:ascii="Times New Roman" w:hAnsi="Times New Roman" w:cs="Times New Roman"/>
          <w:sz w:val="24"/>
          <w:szCs w:val="24"/>
        </w:rPr>
        <w:t xml:space="preserve"> calculating t</w:t>
      </w:r>
      <w:r w:rsidRPr="00B13A76">
        <w:rPr>
          <w:rFonts w:ascii="Times New Roman" w:hAnsi="Times New Roman" w:cs="Times New Roman"/>
          <w:sz w:val="24"/>
          <w:szCs w:val="24"/>
        </w:rPr>
        <w:t>he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level</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the Index using the Index Methodology published by the Index Sponsor. The Index Sponsor will be the</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final</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authority on the Index and the interpretation of the Index</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Methodology.</w:t>
      </w:r>
    </w:p>
    <w:p w:rsidR="00A31EA9" w:rsidRPr="00B13A76" w:rsidRDefault="00A31EA9" w:rsidP="00A31EA9">
      <w:pPr>
        <w:pStyle w:val="BodyText"/>
        <w:kinsoku w:val="0"/>
        <w:overflowPunct w:val="0"/>
        <w:spacing w:line="242" w:lineRule="auto"/>
        <w:ind w:left="0" w:right="218" w:firstLine="0"/>
        <w:rPr>
          <w:rFonts w:ascii="Times New Roman" w:hAnsi="Times New Roman" w:cs="Times New Roman"/>
          <w:sz w:val="24"/>
          <w:szCs w:val="24"/>
        </w:rPr>
      </w:pPr>
    </w:p>
    <w:p w:rsidR="00A31EA9" w:rsidRPr="00B13A76" w:rsidRDefault="00A31EA9" w:rsidP="00A31EA9">
      <w:pPr>
        <w:pStyle w:val="BodyText"/>
        <w:kinsoku w:val="0"/>
        <w:overflowPunct w:val="0"/>
        <w:ind w:left="0" w:right="119" w:firstLine="0"/>
        <w:rPr>
          <w:rFonts w:ascii="Times New Roman" w:hAnsi="Times New Roman" w:cs="Times New Roman"/>
          <w:sz w:val="24"/>
          <w:szCs w:val="24"/>
        </w:rPr>
      </w:pPr>
      <w:r w:rsidRPr="00B13A76">
        <w:rPr>
          <w:rFonts w:ascii="Times New Roman" w:hAnsi="Times New Roman" w:cs="Times New Roman"/>
          <w:sz w:val="24"/>
          <w:szCs w:val="24"/>
        </w:rPr>
        <w:t>The Index calculation agent will calculate the Index Level for each Index business day.  The Index Level</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will</w:t>
      </w:r>
      <w:r w:rsidR="00F568A4" w:rsidRPr="00B13A76">
        <w:rPr>
          <w:rFonts w:ascii="Times New Roman" w:hAnsi="Times New Roman" w:cs="Times New Roman"/>
          <w:sz w:val="24"/>
          <w:szCs w:val="24"/>
        </w:rPr>
        <w:t xml:space="preserve"> </w:t>
      </w:r>
      <w:r w:rsidRPr="00B13A76">
        <w:rPr>
          <w:rFonts w:ascii="Times New Roman" w:hAnsi="Times New Roman" w:cs="Times New Roman"/>
          <w:sz w:val="24"/>
          <w:szCs w:val="24"/>
        </w:rPr>
        <w:t>be displayed on Bloomberg page “X” (or on any successor page) on each Index business day.  Intraday Index levels will be published by the Index calculation agent under ticker symbol “</w:t>
      </w:r>
      <w:r w:rsidR="00130F41" w:rsidRPr="00B13A76">
        <w:rPr>
          <w:rFonts w:ascii="Times New Roman" w:hAnsi="Times New Roman" w:cs="Times New Roman"/>
          <w:sz w:val="24"/>
          <w:szCs w:val="24"/>
        </w:rPr>
        <w:t>CSAMSRS</w:t>
      </w:r>
      <w:r w:rsidR="00BE7BC8" w:rsidRPr="00B13A76">
        <w:rPr>
          <w:rFonts w:ascii="Times New Roman" w:hAnsi="Times New Roman" w:cs="Times New Roman"/>
          <w:sz w:val="24"/>
          <w:szCs w:val="24"/>
        </w:rPr>
        <w:t>C</w:t>
      </w:r>
      <w:r w:rsidRPr="00B13A76">
        <w:rPr>
          <w:rFonts w:ascii="Times New Roman" w:hAnsi="Times New Roman" w:cs="Times New Roman"/>
          <w:sz w:val="24"/>
          <w:szCs w:val="24"/>
        </w:rPr>
        <w:t>” The Index Level will not</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be</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published on any day on which the Index Level is not calculated, whether because such day is a disrupted</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day</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(as defined under “—Index Disruption Events” below) or otherwise. All numerical values for the Index will</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be</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rounded to fifteen decimal</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places.</w:t>
      </w:r>
    </w:p>
    <w:p w:rsidR="00A31EA9" w:rsidRPr="00B13A76" w:rsidRDefault="00A31EA9" w:rsidP="00A31EA9">
      <w:pPr>
        <w:pStyle w:val="BodyText"/>
        <w:kinsoku w:val="0"/>
        <w:overflowPunct w:val="0"/>
        <w:ind w:left="0" w:right="118" w:firstLine="0"/>
        <w:rPr>
          <w:rFonts w:ascii="Times New Roman" w:hAnsi="Times New Roman" w:cs="Times New Roman"/>
          <w:sz w:val="24"/>
          <w:szCs w:val="24"/>
        </w:rPr>
      </w:pPr>
    </w:p>
    <w:p w:rsidR="00A31EA9" w:rsidRPr="00B13A76" w:rsidRDefault="00A31EA9" w:rsidP="00A31EA9">
      <w:pPr>
        <w:pStyle w:val="BodyText"/>
        <w:kinsoku w:val="0"/>
        <w:overflowPunct w:val="0"/>
        <w:ind w:left="0" w:right="118" w:firstLine="0"/>
        <w:rPr>
          <w:rFonts w:ascii="Times New Roman" w:hAnsi="Times New Roman" w:cs="Times New Roman"/>
          <w:sz w:val="24"/>
          <w:szCs w:val="24"/>
        </w:rPr>
      </w:pPr>
      <w:r w:rsidRPr="00B13A76">
        <w:rPr>
          <w:rFonts w:ascii="Times New Roman" w:hAnsi="Times New Roman" w:cs="Times New Roman"/>
          <w:sz w:val="24"/>
          <w:szCs w:val="24"/>
        </w:rPr>
        <w:t>In the event that the Index calculation agent or the Index Sponsor determines that a material error</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has</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occurred in the calculation of the Index, the Index calculation agent, having consulted, or having been</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consulted</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by, the Index Sponsor, will endeavor to correct such error on a date agreed to by the Index Sponsor. If a</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material</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error is corrected, the Index Sponsor will apply the correction from the relevant date</w:t>
      </w:r>
      <w:r w:rsidR="00592B1A"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forward.</w:t>
      </w:r>
    </w:p>
    <w:p w:rsidR="001306ED" w:rsidRDefault="001306ED" w:rsidP="005D6E04">
      <w:pPr>
        <w:pStyle w:val="BodyText"/>
        <w:kinsoku w:val="0"/>
        <w:overflowPunct w:val="0"/>
        <w:ind w:left="0" w:right="118" w:firstLine="0"/>
        <w:rPr>
          <w:rFonts w:ascii="Times New Roman" w:eastAsiaTheme="minorHAnsi" w:hAnsi="Times New Roman" w:cs="Times New Roman"/>
          <w:sz w:val="24"/>
          <w:szCs w:val="24"/>
        </w:rPr>
      </w:pPr>
      <w:bookmarkStart w:id="17" w:name="Index_Disruption_Events"/>
      <w:bookmarkEnd w:id="17"/>
    </w:p>
    <w:p w:rsidR="005D6E04" w:rsidRPr="00B13A76" w:rsidRDefault="005D6E04" w:rsidP="005D6E04">
      <w:pPr>
        <w:pStyle w:val="BodyText"/>
        <w:kinsoku w:val="0"/>
        <w:overflowPunct w:val="0"/>
        <w:ind w:left="0" w:right="118" w:firstLine="0"/>
        <w:rPr>
          <w:rFonts w:ascii="Times New Roman" w:hAnsi="Times New Roman" w:cs="Times New Roman"/>
          <w:sz w:val="24"/>
          <w:szCs w:val="24"/>
        </w:rPr>
      </w:pPr>
      <w:r w:rsidRPr="00B13A76">
        <w:rPr>
          <w:rFonts w:ascii="Times New Roman" w:hAnsi="Times New Roman" w:cs="Times New Roman"/>
          <w:b/>
          <w:sz w:val="24"/>
          <w:szCs w:val="24"/>
        </w:rPr>
        <w:t xml:space="preserve">Calculations and Pricing Disruptions </w:t>
      </w:r>
    </w:p>
    <w:p w:rsidR="005D6E04" w:rsidRPr="00B13A76" w:rsidRDefault="005D6E04" w:rsidP="005D6E04">
      <w:pPr>
        <w:contextualSpacing/>
        <w:rPr>
          <w:rFonts w:ascii="Times New Roman" w:hAnsi="Times New Roman" w:cs="Times New Roman"/>
        </w:rPr>
      </w:pPr>
    </w:p>
    <w:p w:rsidR="00093BA1" w:rsidRPr="00B13A76" w:rsidRDefault="00093BA1" w:rsidP="005D6E04">
      <w:pPr>
        <w:contextualSpacing/>
        <w:rPr>
          <w:rFonts w:ascii="Times New Roman" w:hAnsi="Times New Roman" w:cs="Times New Roman"/>
        </w:rPr>
      </w:pPr>
      <w:r w:rsidRPr="002B278B">
        <w:rPr>
          <w:rFonts w:ascii="Times New Roman" w:hAnsi="Times New Roman" w:cs="Times New Roman"/>
        </w:rPr>
        <w:t xml:space="preserve">The CFRA-Stovall </w:t>
      </w:r>
      <w:r w:rsidR="000F6323" w:rsidRPr="002B278B">
        <w:rPr>
          <w:rFonts w:ascii="Times New Roman" w:hAnsi="Times New Roman" w:cs="Times New Roman"/>
        </w:rPr>
        <w:t xml:space="preserve">Small Cap Seasonal Rotation </w:t>
      </w:r>
      <w:r w:rsidRPr="002B278B">
        <w:rPr>
          <w:rFonts w:ascii="Times New Roman" w:hAnsi="Times New Roman" w:cs="Times New Roman"/>
        </w:rPr>
        <w:t>Index</w:t>
      </w:r>
      <w:r w:rsidRPr="00B13A76">
        <w:rPr>
          <w:rFonts w:ascii="Times New Roman" w:hAnsi="Times New Roman" w:cs="Times New Roman"/>
        </w:rPr>
        <w:t xml:space="preserve"> will follow the same policies for calculations and pricing disruptions as the S&amp;P indices.</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b/>
          <w:u w:val="single"/>
        </w:rPr>
      </w:pPr>
      <w:r w:rsidRPr="00B13A76">
        <w:rPr>
          <w:rFonts w:ascii="Times New Roman" w:hAnsi="Times New Roman" w:cs="Times New Roman"/>
          <w:b/>
          <w:u w:val="single"/>
        </w:rPr>
        <w:t xml:space="preserve">Real-time Index Calculation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Prices used for the calculation of real-time index values are based on the “Consolidated Tape”. The “Consolidated Tape” is an aggregation of trades for each security over all regional exchanges and trading venues and includes the primary exchange. If there is a failure or interruption on one or more exchanges, real-time calculations will continue as long as the “Consolidated Tape” is operational.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Prices used for the calculation of official closing index values are based on the official closing prices of the individual constituents of the index as set by their primary exchange. If an interruption is not resolved prior to the market close, official closing prices will be determined based on SEC Rule 123C as outlined in the </w:t>
      </w:r>
      <w:r w:rsidRPr="00B13A76">
        <w:rPr>
          <w:rFonts w:ascii="Times New Roman" w:hAnsi="Times New Roman" w:cs="Times New Roman"/>
          <w:i/>
        </w:rPr>
        <w:t>Unexpected Exchange Closures</w:t>
      </w:r>
      <w:r w:rsidRPr="00B13A76">
        <w:rPr>
          <w:rFonts w:ascii="Times New Roman" w:hAnsi="Times New Roman" w:cs="Times New Roman"/>
        </w:rPr>
        <w:t xml:space="preserve"> chapter.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A notice is published on S&amp;P Dow Jones Indices’ Web site at www.spdji.com indicating any changes to the prices used in index calculations.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In extreme circumstances, S&amp;P Dow Jones Indices may decide to delay index adjustments or not publish an index.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b/>
        </w:rPr>
        <w:t>Canadian Securities.</w:t>
      </w:r>
      <w:r w:rsidRPr="00B13A76">
        <w:rPr>
          <w:rFonts w:ascii="Times New Roman" w:hAnsi="Times New Roman" w:cs="Times New Roman"/>
        </w:rPr>
        <w:t xml:space="preserve">  Real-time calculations of the S&amp;P/TSX indices and other S&amp;P Dow Jones Indices equity indices incorporating Canadian stocks use prices obtained directly from the TSX. If the TSX suffers a failure or interruption, real-time calculations are halted until the TSX confirms that trading and price dissemination has resumed.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If the interruption is not resolved before the market close and the TSX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In extreme circumstances, S&amp;P Dow Jones Indices may decide to delay index adjustments or not publish an index.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b/>
        </w:rPr>
        <w:t>Indian Securities.</w:t>
      </w:r>
      <w:r w:rsidRPr="00B13A76">
        <w:rPr>
          <w:rFonts w:ascii="Times New Roman" w:hAnsi="Times New Roman" w:cs="Times New Roman"/>
        </w:rPr>
        <w:t xml:space="preserve">  Real-time calculations of the S&amp;P BSE Indices are calculated by the BSE and use prices obtained directly from the BSE. If the BSE suffers a failure or interruption, real-time calculations are halted until the BSE confirms that trading and price dissemination has resumed.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If the interruption is not resolved before the market close and the BSE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In extreme circumstances, S&amp;P Dow Jones Indices may decide to delay index adjustments or not publish an index.</w:t>
      </w: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  </w:t>
      </w: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b/>
        </w:rPr>
        <w:t>All Other Securities.</w:t>
      </w:r>
      <w:r w:rsidRPr="00B13A76">
        <w:rPr>
          <w:rFonts w:ascii="Times New Roman" w:hAnsi="Times New Roman" w:cs="Times New Roman"/>
        </w:rPr>
        <w:t xml:space="preserve">  Real-time calculations of equity indices incorporating securities other than Canadian and Indian securities use prices obtained from IDC and Thomson Reuters. If the relevant exchange suffers a failure or interruption, real-time calculations are halted until the exchange confirms that trading and price dissemination has resumed.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If the interruption is not resolved before the market close and the exchange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In extreme circumstances, S&amp;P Dow Jones Indices may decide to delay index adjustments or not publish an index. </w:t>
      </w:r>
    </w:p>
    <w:p w:rsidR="005D6E04" w:rsidRPr="00B13A76" w:rsidRDefault="005D6E04" w:rsidP="005D6E04">
      <w:pPr>
        <w:contextualSpacing/>
        <w:rPr>
          <w:rFonts w:ascii="Times New Roman" w:hAnsi="Times New Roman" w:cs="Times New Roman"/>
        </w:rPr>
      </w:pPr>
    </w:p>
    <w:p w:rsidR="001306ED" w:rsidRDefault="001306ED" w:rsidP="005D6E04">
      <w:pPr>
        <w:contextualSpacing/>
        <w:rPr>
          <w:rFonts w:ascii="Times New Roman" w:hAnsi="Times New Roman" w:cs="Times New Roman"/>
          <w:b/>
        </w:rPr>
      </w:pPr>
    </w:p>
    <w:p w:rsidR="001306ED" w:rsidRDefault="001306ED" w:rsidP="005D6E04">
      <w:pPr>
        <w:contextualSpacing/>
        <w:rPr>
          <w:rFonts w:ascii="Times New Roman" w:hAnsi="Times New Roman" w:cs="Times New Roman"/>
          <w:b/>
        </w:rPr>
      </w:pPr>
    </w:p>
    <w:p w:rsidR="001306ED" w:rsidRDefault="001306ED" w:rsidP="005D6E04">
      <w:pPr>
        <w:contextualSpacing/>
        <w:rPr>
          <w:rFonts w:ascii="Times New Roman" w:hAnsi="Times New Roman" w:cs="Times New Roman"/>
          <w:b/>
        </w:rPr>
      </w:pPr>
    </w:p>
    <w:p w:rsidR="001306ED" w:rsidRDefault="001306ED" w:rsidP="005D6E04">
      <w:pPr>
        <w:contextualSpacing/>
        <w:rPr>
          <w:rFonts w:ascii="Times New Roman" w:hAnsi="Times New Roman" w:cs="Times New Roman"/>
          <w:b/>
        </w:rPr>
      </w:pPr>
    </w:p>
    <w:p w:rsidR="005D6E04" w:rsidRPr="00B13A76" w:rsidRDefault="005D6E04" w:rsidP="005D6E04">
      <w:pPr>
        <w:contextualSpacing/>
        <w:rPr>
          <w:rFonts w:ascii="Times New Roman" w:hAnsi="Times New Roman" w:cs="Times New Roman"/>
          <w:b/>
        </w:rPr>
      </w:pPr>
      <w:r w:rsidRPr="00B13A76">
        <w:rPr>
          <w:rFonts w:ascii="Times New Roman" w:hAnsi="Times New Roman" w:cs="Times New Roman"/>
          <w:b/>
        </w:rPr>
        <w:t xml:space="preserve">Other Adjustments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In cases where there is no achievable market price for a stock being deleted, it can be removed at a zero or minimal price at the Index Committee’s discretion, in recognition of the constraints faced by investors in trading bankrupt or suspended stocks.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b/>
        </w:rPr>
      </w:pPr>
      <w:r w:rsidRPr="00B13A76">
        <w:rPr>
          <w:rFonts w:ascii="Times New Roman" w:hAnsi="Times New Roman" w:cs="Times New Roman"/>
          <w:b/>
        </w:rPr>
        <w:t xml:space="preserve">Expert Judgment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S&amp;P Dow Jones Indices' Index Committees may exercise Expert Judgment when the situation calls for the interpretation of data in calculating and maintaining an S&amp;P Dow Jones Indices' Index. S&amp;P Dow Jones Indices maintains internal records of the use of Expert Judgment and the rationale for any such use. Expert Judgment specifically and exclusively refers to S&amp;P Dow Jones Indices’ exercise of discretion with respect to its use of data in determining an index in the following context:  Expert Judgment includes extrapolating data from prior or related transactions, adjusting data for factors that might influence the quality of data such as market events or impairment of a buyer or seller’s credit quality, or weighing firm bids or offers greater than a particular concluded transaction. Other areas of discretion, such as methodology changes, are not, for the purposes of this document, considered Expert Judgment.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b/>
        </w:rPr>
      </w:pPr>
      <w:r w:rsidRPr="00B13A76">
        <w:rPr>
          <w:rFonts w:ascii="Times New Roman" w:hAnsi="Times New Roman" w:cs="Times New Roman"/>
          <w:b/>
        </w:rPr>
        <w:t xml:space="preserve">Discretion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S&amp;P Dow Jones Indices' Index Committees may apply discretion to make decisions that differ from the index methodology in certain circumstances, including to avoid unnecessary turnover, excessive index changes or adjustments, or possible market disruption.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b/>
        </w:rPr>
      </w:pPr>
      <w:r w:rsidRPr="00B13A76">
        <w:rPr>
          <w:rFonts w:ascii="Times New Roman" w:hAnsi="Times New Roman" w:cs="Times New Roman"/>
          <w:b/>
        </w:rPr>
        <w:t xml:space="preserve">Data Hierarchy and Data Sources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b/>
        </w:rPr>
        <w:t>Data Hierarchy.</w:t>
      </w:r>
      <w:r w:rsidRPr="00B13A76">
        <w:rPr>
          <w:rFonts w:ascii="Times New Roman" w:hAnsi="Times New Roman" w:cs="Times New Roman"/>
        </w:rPr>
        <w:t xml:space="preserve"> Data used for the indices governed by this methodology may include: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a) Completed transaction data are used in these indices in the vast majority of cases; and/or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rPr>
        <w:t xml:space="preserve">b) For certain corporate actions, theoretical prices may be derived using the existing security price and the specifics of the corporate action.  </w:t>
      </w:r>
    </w:p>
    <w:p w:rsidR="005D6E04" w:rsidRPr="00B13A76" w:rsidRDefault="005D6E04" w:rsidP="005D6E04">
      <w:pPr>
        <w:contextualSpacing/>
        <w:rPr>
          <w:rFonts w:ascii="Times New Roman" w:hAnsi="Times New Roman" w:cs="Times New Roman"/>
        </w:rPr>
      </w:pPr>
    </w:p>
    <w:p w:rsidR="005D6E04" w:rsidRPr="00B13A76" w:rsidRDefault="005D6E04" w:rsidP="005D6E04">
      <w:pPr>
        <w:contextualSpacing/>
        <w:rPr>
          <w:rFonts w:ascii="Times New Roman" w:hAnsi="Times New Roman" w:cs="Times New Roman"/>
        </w:rPr>
      </w:pPr>
      <w:r w:rsidRPr="00B13A76">
        <w:rPr>
          <w:rFonts w:ascii="Times New Roman" w:hAnsi="Times New Roman" w:cs="Times New Roman"/>
          <w:b/>
        </w:rPr>
        <w:t>Data Sources.</w:t>
      </w:r>
      <w:r w:rsidRPr="00B13A76">
        <w:rPr>
          <w:rFonts w:ascii="Times New Roman" w:hAnsi="Times New Roman" w:cs="Times New Roman"/>
        </w:rPr>
        <w:t xml:space="preserve">  The primary source for data is the exchange upon which the underlying security is traded (either directly from the applicable exchange or via a third party data vendor).</w:t>
      </w:r>
    </w:p>
    <w:p w:rsidR="00A31EA9" w:rsidRPr="00B13A76" w:rsidRDefault="00A31EA9" w:rsidP="00A31EA9">
      <w:pPr>
        <w:pStyle w:val="Heading4"/>
        <w:kinsoku w:val="0"/>
        <w:overflowPunct w:val="0"/>
        <w:spacing w:before="166"/>
        <w:ind w:left="0" w:right="129"/>
        <w:rPr>
          <w:rFonts w:ascii="Times New Roman" w:hAnsi="Times New Roman" w:cs="Times New Roman"/>
          <w:sz w:val="24"/>
          <w:szCs w:val="24"/>
        </w:rPr>
      </w:pPr>
    </w:p>
    <w:p w:rsidR="00A31EA9" w:rsidRPr="00B13A76" w:rsidRDefault="00A31EA9" w:rsidP="00A31EA9">
      <w:pPr>
        <w:pStyle w:val="Heading4"/>
        <w:kinsoku w:val="0"/>
        <w:overflowPunct w:val="0"/>
        <w:spacing w:before="166"/>
        <w:ind w:left="0" w:right="129"/>
        <w:rPr>
          <w:rFonts w:ascii="Times New Roman" w:hAnsi="Times New Roman" w:cs="Times New Roman"/>
          <w:b w:val="0"/>
          <w:bCs w:val="0"/>
          <w:sz w:val="24"/>
          <w:szCs w:val="24"/>
        </w:rPr>
      </w:pPr>
      <w:r w:rsidRPr="00B13A76">
        <w:rPr>
          <w:rFonts w:ascii="Times New Roman" w:hAnsi="Times New Roman" w:cs="Times New Roman"/>
          <w:sz w:val="24"/>
          <w:szCs w:val="24"/>
        </w:rPr>
        <w:t>Termination of 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p>
    <w:p w:rsidR="00A31EA9" w:rsidRPr="00B13A76"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ind w:left="0" w:firstLine="0"/>
        <w:rPr>
          <w:rFonts w:ascii="Times New Roman" w:hAnsi="Times New Roman" w:cs="Times New Roman"/>
          <w:sz w:val="24"/>
          <w:szCs w:val="24"/>
        </w:rPr>
      </w:pPr>
      <w:r w:rsidRPr="00B13A76">
        <w:rPr>
          <w:rFonts w:ascii="Times New Roman" w:hAnsi="Times New Roman" w:cs="Times New Roman"/>
          <w:sz w:val="24"/>
          <w:szCs w:val="24"/>
        </w:rPr>
        <w:t>The Index Sponsor may, at any time and without notice, terminate publication of the Index and proceed to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ask</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 Index calculation agent to cease the calculation and dissemination of 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p>
    <w:p w:rsidR="00A31EA9" w:rsidRPr="00B13A76" w:rsidRDefault="00A31EA9" w:rsidP="00A31EA9">
      <w:pPr>
        <w:pStyle w:val="BodyText"/>
        <w:kinsoku w:val="0"/>
        <w:overflowPunct w:val="0"/>
        <w:ind w:left="100" w:firstLine="0"/>
        <w:rPr>
          <w:rFonts w:ascii="Times New Roman" w:hAnsi="Times New Roman" w:cs="Times New Roman"/>
          <w:sz w:val="24"/>
          <w:szCs w:val="24"/>
        </w:rPr>
      </w:pPr>
    </w:p>
    <w:p w:rsidR="00A31EA9" w:rsidRPr="00B13A76" w:rsidRDefault="00A31EA9" w:rsidP="00A31EA9">
      <w:pPr>
        <w:pStyle w:val="Heading4"/>
        <w:kinsoku w:val="0"/>
        <w:overflowPunct w:val="0"/>
        <w:spacing w:before="169"/>
        <w:ind w:left="0" w:right="129"/>
        <w:rPr>
          <w:rFonts w:ascii="Times New Roman" w:hAnsi="Times New Roman" w:cs="Times New Roman"/>
          <w:b w:val="0"/>
          <w:bCs w:val="0"/>
          <w:sz w:val="24"/>
          <w:szCs w:val="24"/>
        </w:rPr>
      </w:pPr>
      <w:r w:rsidRPr="00B13A76">
        <w:rPr>
          <w:rFonts w:ascii="Times New Roman" w:hAnsi="Times New Roman" w:cs="Times New Roman"/>
          <w:sz w:val="24"/>
          <w:szCs w:val="24"/>
        </w:rPr>
        <w:t>Change in 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Methodology</w:t>
      </w:r>
    </w:p>
    <w:p w:rsidR="00A31EA9" w:rsidRPr="00B13A76" w:rsidRDefault="00A31EA9" w:rsidP="00A31EA9">
      <w:pPr>
        <w:pStyle w:val="BodyText"/>
        <w:kinsoku w:val="0"/>
        <w:overflowPunct w:val="0"/>
        <w:spacing w:before="4"/>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spacing w:line="242" w:lineRule="auto"/>
        <w:ind w:left="0" w:right="217" w:firstLine="0"/>
        <w:rPr>
          <w:rFonts w:ascii="Times New Roman" w:hAnsi="Times New Roman" w:cs="Times New Roman"/>
          <w:sz w:val="24"/>
          <w:szCs w:val="24"/>
        </w:rPr>
      </w:pPr>
      <w:r w:rsidRPr="00B13A76">
        <w:rPr>
          <w:rFonts w:ascii="Times New Roman" w:hAnsi="Times New Roman" w:cs="Times New Roman"/>
          <w:sz w:val="24"/>
          <w:szCs w:val="24"/>
        </w:rPr>
        <w:t>No assurance can be given that fiscal, market, regulatory, juridical, financial or other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circumstances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(including,</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without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limitation,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changes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6613B2" w:rsidRPr="00B13A76">
        <w:rPr>
          <w:rFonts w:ascii="Times New Roman" w:hAnsi="Times New Roman" w:cs="Times New Roman"/>
          <w:sz w:val="24"/>
          <w:szCs w:val="24"/>
        </w:rPr>
        <w:t xml:space="preserve"> </w:t>
      </w:r>
      <w:r w:rsidRPr="00B13A76">
        <w:rPr>
          <w:rFonts w:ascii="Times New Roman" w:hAnsi="Times New Roman" w:cs="Times New Roman"/>
          <w:spacing w:val="2"/>
          <w:sz w:val="24"/>
          <w:szCs w:val="24"/>
        </w:rPr>
        <w:t>any</w:t>
      </w:r>
      <w:r w:rsidR="006613B2" w:rsidRPr="00B13A76">
        <w:rPr>
          <w:rFonts w:ascii="Times New Roman" w:hAnsi="Times New Roman" w:cs="Times New Roman"/>
          <w:spacing w:val="2"/>
          <w:sz w:val="24"/>
          <w:szCs w:val="24"/>
        </w:rPr>
        <w:t xml:space="preserve"> </w:t>
      </w:r>
      <w:r w:rsidRPr="00B13A76">
        <w:rPr>
          <w:rFonts w:ascii="Times New Roman" w:hAnsi="Times New Roman" w:cs="Times New Roman"/>
          <w:sz w:val="24"/>
          <w:szCs w:val="24"/>
        </w:rPr>
        <w:t>suspension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termination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components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which</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values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must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be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determined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relation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will</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not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arise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that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would,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determination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Sponsor, necessitate or make desirable a modification of, or change to, the 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Methodology.</w:t>
      </w:r>
    </w:p>
    <w:p w:rsidR="00A31EA9" w:rsidRPr="00B13A76"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B13A76" w:rsidRDefault="00A31EA9" w:rsidP="00A31EA9">
      <w:pPr>
        <w:pStyle w:val="BodyText"/>
        <w:kinsoku w:val="0"/>
        <w:overflowPunct w:val="0"/>
        <w:ind w:left="0" w:right="217" w:firstLine="0"/>
        <w:rPr>
          <w:rFonts w:ascii="Times New Roman" w:hAnsi="Times New Roman" w:cs="Times New Roman"/>
          <w:sz w:val="24"/>
          <w:szCs w:val="24"/>
        </w:rPr>
      </w:pPr>
      <w:r w:rsidRPr="00B13A76">
        <w:rPr>
          <w:rFonts w:ascii="Times New Roman" w:hAnsi="Times New Roman" w:cs="Times New Roman"/>
          <w:sz w:val="24"/>
          <w:szCs w:val="24"/>
        </w:rPr>
        <w:t xml:space="preserve">Any change to, or modification of, the Index Methodology </w:t>
      </w:r>
      <w:r w:rsidRPr="00B13A76">
        <w:rPr>
          <w:rFonts w:ascii="Times New Roman" w:hAnsi="Times New Roman" w:cs="Times New Roman"/>
          <w:spacing w:val="2"/>
          <w:sz w:val="24"/>
          <w:szCs w:val="24"/>
        </w:rPr>
        <w:t xml:space="preserve">may </w:t>
      </w:r>
      <w:r w:rsidRPr="00B13A76">
        <w:rPr>
          <w:rFonts w:ascii="Times New Roman" w:hAnsi="Times New Roman" w:cs="Times New Roman"/>
          <w:sz w:val="24"/>
          <w:szCs w:val="24"/>
        </w:rPr>
        <w:t>be outside the technology employed by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Index calculation agent, and thus the Index calculation agent </w:t>
      </w:r>
      <w:r w:rsidRPr="00B13A76">
        <w:rPr>
          <w:rFonts w:ascii="Times New Roman" w:hAnsi="Times New Roman" w:cs="Times New Roman"/>
          <w:spacing w:val="2"/>
          <w:sz w:val="24"/>
          <w:szCs w:val="24"/>
        </w:rPr>
        <w:t xml:space="preserve">may </w:t>
      </w:r>
      <w:r w:rsidRPr="00B13A76">
        <w:rPr>
          <w:rFonts w:ascii="Times New Roman" w:hAnsi="Times New Roman" w:cs="Times New Roman"/>
          <w:sz w:val="24"/>
          <w:szCs w:val="24"/>
        </w:rPr>
        <w:t>not be able to calculate the 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following</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such change or modification. In such event the Index Sponsor may, in its sole and absolute discretion, appoint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successor Index calculation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agent.</w:t>
      </w:r>
    </w:p>
    <w:p w:rsidR="00A31EA9" w:rsidRPr="00B13A76" w:rsidRDefault="00A31EA9" w:rsidP="00A31EA9">
      <w:pPr>
        <w:rPr>
          <w:rFonts w:ascii="Times New Roman" w:hAnsi="Times New Roman" w:cs="Times New Roman"/>
        </w:rPr>
      </w:pPr>
    </w:p>
    <w:p w:rsidR="00A31EA9" w:rsidRPr="00B13A76" w:rsidRDefault="00A31EA9" w:rsidP="00A31EA9">
      <w:pPr>
        <w:pStyle w:val="Heading4"/>
        <w:kinsoku w:val="0"/>
        <w:overflowPunct w:val="0"/>
        <w:spacing w:before="166"/>
        <w:ind w:left="0" w:right="129"/>
        <w:rPr>
          <w:rFonts w:ascii="Times New Roman" w:hAnsi="Times New Roman" w:cs="Times New Roman"/>
          <w:b w:val="0"/>
          <w:bCs w:val="0"/>
          <w:sz w:val="24"/>
          <w:szCs w:val="24"/>
        </w:rPr>
      </w:pPr>
      <w:bookmarkStart w:id="18" w:name="Index_Adjustment_Events"/>
      <w:bookmarkStart w:id="19" w:name="Index_Disruption_Fallbacks"/>
      <w:bookmarkStart w:id="20" w:name="Termination_of_the_Index"/>
      <w:bookmarkStart w:id="21" w:name="Change_in_Index_Methodology"/>
      <w:bookmarkStart w:id="22" w:name="Disclaimer"/>
      <w:bookmarkEnd w:id="18"/>
      <w:bookmarkEnd w:id="19"/>
      <w:bookmarkEnd w:id="20"/>
      <w:bookmarkEnd w:id="21"/>
      <w:bookmarkEnd w:id="22"/>
      <w:r w:rsidRPr="00B13A76">
        <w:rPr>
          <w:rFonts w:ascii="Times New Roman" w:hAnsi="Times New Roman" w:cs="Times New Roman"/>
          <w:sz w:val="24"/>
          <w:szCs w:val="24"/>
        </w:rPr>
        <w:t>Disclaimer</w:t>
      </w:r>
    </w:p>
    <w:p w:rsidR="00A31EA9" w:rsidRPr="00B13A76"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ind w:left="0" w:right="129" w:firstLine="0"/>
        <w:rPr>
          <w:rFonts w:ascii="Times New Roman" w:hAnsi="Times New Roman" w:cs="Times New Roman"/>
          <w:sz w:val="24"/>
          <w:szCs w:val="24"/>
        </w:rPr>
      </w:pPr>
      <w:r w:rsidRPr="00B13A76">
        <w:rPr>
          <w:rFonts w:ascii="Times New Roman" w:hAnsi="Times New Roman" w:cs="Times New Roman"/>
          <w:sz w:val="24"/>
          <w:szCs w:val="24"/>
        </w:rPr>
        <w:t>Although</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 Sponsor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obtains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price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return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data</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from sources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that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it</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considers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reliable,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example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for the Benchmark Index, the Index Sponsor will not independently verify such data,</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neither does it guarantee the accuracy and/or completeness of any data included in this description of 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nor the accuracy of any 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Levels.</w:t>
      </w:r>
    </w:p>
    <w:p w:rsidR="00A31EA9" w:rsidRPr="00B13A76" w:rsidRDefault="00A31EA9" w:rsidP="00A31EA9">
      <w:pPr>
        <w:pStyle w:val="BodyText"/>
        <w:kinsoku w:val="0"/>
        <w:overflowPunct w:val="0"/>
        <w:ind w:left="100" w:right="129" w:firstLine="0"/>
        <w:rPr>
          <w:rFonts w:ascii="Times New Roman" w:hAnsi="Times New Roman" w:cs="Times New Roman"/>
          <w:sz w:val="24"/>
          <w:szCs w:val="24"/>
        </w:rPr>
      </w:pPr>
    </w:p>
    <w:p w:rsidR="00A31EA9" w:rsidRPr="00B13A76" w:rsidRDefault="00A31EA9" w:rsidP="00A31EA9">
      <w:pPr>
        <w:pStyle w:val="BodyText"/>
        <w:kinsoku w:val="0"/>
        <w:overflowPunct w:val="0"/>
        <w:spacing w:before="57"/>
        <w:ind w:left="0" w:right="222" w:firstLine="0"/>
        <w:jc w:val="both"/>
        <w:rPr>
          <w:rFonts w:ascii="Times New Roman" w:hAnsi="Times New Roman" w:cs="Times New Roman"/>
          <w:sz w:val="24"/>
          <w:szCs w:val="24"/>
        </w:rPr>
      </w:pP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Sponsor is</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under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no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obligation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advise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person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entity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error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Index</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(but</w:t>
      </w:r>
      <w:r w:rsidR="006613B2" w:rsidRPr="00B13A76">
        <w:rPr>
          <w:rFonts w:ascii="Times New Roman" w:hAnsi="Times New Roman" w:cs="Times New Roman"/>
          <w:sz w:val="24"/>
          <w:szCs w:val="24"/>
        </w:rPr>
        <w:t xml:space="preserve"> </w:t>
      </w:r>
      <w:r w:rsidRPr="00B13A76">
        <w:rPr>
          <w:rFonts w:ascii="Times New Roman" w:hAnsi="Times New Roman" w:cs="Times New Roman"/>
          <w:spacing w:val="2"/>
          <w:sz w:val="24"/>
          <w:szCs w:val="24"/>
        </w:rPr>
        <w:t>may</w:t>
      </w:r>
      <w:r w:rsidR="006613B2" w:rsidRPr="00B13A76">
        <w:rPr>
          <w:rFonts w:ascii="Times New Roman" w:hAnsi="Times New Roman" w:cs="Times New Roman"/>
          <w:spacing w:val="2"/>
          <w:sz w:val="24"/>
          <w:szCs w:val="24"/>
        </w:rPr>
        <w:t xml:space="preserve"> </w:t>
      </w:r>
      <w:r w:rsidRPr="00B13A76">
        <w:rPr>
          <w:rFonts w:ascii="Times New Roman" w:hAnsi="Times New Roman" w:cs="Times New Roman"/>
          <w:sz w:val="24"/>
          <w:szCs w:val="24"/>
        </w:rPr>
        <w:t>do</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so in its sole and </w:t>
      </w:r>
      <w:r w:rsidR="00867C62" w:rsidRPr="00B13A76">
        <w:rPr>
          <w:rFonts w:ascii="Times New Roman" w:hAnsi="Times New Roman" w:cs="Times New Roman"/>
          <w:sz w:val="24"/>
          <w:szCs w:val="24"/>
        </w:rPr>
        <w:t>absolute discretion). Reference</w:t>
      </w:r>
      <w:r w:rsidRPr="00B13A76">
        <w:rPr>
          <w:rFonts w:ascii="Times New Roman" w:hAnsi="Times New Roman" w:cs="Times New Roman"/>
          <w:sz w:val="24"/>
          <w:szCs w:val="24"/>
        </w:rPr>
        <w:t xml:space="preserve"> to the Benchmark Index </w:t>
      </w:r>
      <w:r w:rsidR="00867C62" w:rsidRPr="00B13A76">
        <w:rPr>
          <w:rFonts w:ascii="Times New Roman" w:hAnsi="Times New Roman" w:cs="Times New Roman"/>
          <w:sz w:val="24"/>
          <w:szCs w:val="24"/>
        </w:rPr>
        <w:t>is</w:t>
      </w:r>
      <w:r w:rsidRPr="00B13A76">
        <w:rPr>
          <w:rFonts w:ascii="Times New Roman" w:hAnsi="Times New Roman" w:cs="Times New Roman"/>
          <w:sz w:val="24"/>
          <w:szCs w:val="24"/>
        </w:rPr>
        <w:t xml:space="preserve"> included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only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to describe the components upon which the Index is based. The Index is not in any way sponsored, endorsed</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promoted by S&amp;P Dow Jones Indices or any</w:t>
      </w:r>
      <w:r w:rsidR="006613B2" w:rsidRPr="00B13A76">
        <w:rPr>
          <w:rFonts w:ascii="Times New Roman" w:hAnsi="Times New Roman" w:cs="Times New Roman"/>
          <w:sz w:val="24"/>
          <w:szCs w:val="24"/>
        </w:rPr>
        <w:t xml:space="preserve"> </w:t>
      </w:r>
      <w:r w:rsidRPr="00B13A76">
        <w:rPr>
          <w:rFonts w:ascii="Times New Roman" w:hAnsi="Times New Roman" w:cs="Times New Roman"/>
          <w:sz w:val="24"/>
          <w:szCs w:val="24"/>
        </w:rPr>
        <w:t>Exchange.</w:t>
      </w:r>
    </w:p>
    <w:p w:rsidR="00A31EA9" w:rsidRPr="00B13A76" w:rsidRDefault="00A31EA9" w:rsidP="00A31EA9">
      <w:pPr>
        <w:pStyle w:val="BodyText"/>
        <w:kinsoku w:val="0"/>
        <w:overflowPunct w:val="0"/>
        <w:spacing w:before="4"/>
        <w:ind w:left="0" w:firstLine="0"/>
        <w:rPr>
          <w:rFonts w:ascii="Times New Roman" w:hAnsi="Times New Roman" w:cs="Times New Roman"/>
          <w:color w:val="000000" w:themeColor="text1"/>
          <w:sz w:val="24"/>
          <w:szCs w:val="24"/>
        </w:rPr>
      </w:pPr>
    </w:p>
    <w:p w:rsidR="00A31EA9" w:rsidRPr="00B13A76" w:rsidRDefault="00A31EA9" w:rsidP="00A31EA9">
      <w:pPr>
        <w:pStyle w:val="BodyText"/>
        <w:kinsoku w:val="0"/>
        <w:overflowPunct w:val="0"/>
        <w:ind w:left="0" w:right="129" w:firstLine="0"/>
        <w:rPr>
          <w:rFonts w:ascii="Times New Roman" w:hAnsi="Times New Roman" w:cs="Times New Roman"/>
          <w:sz w:val="24"/>
          <w:szCs w:val="24"/>
        </w:rPr>
      </w:pPr>
    </w:p>
    <w:p w:rsidR="00A31EA9" w:rsidRPr="00B13A76" w:rsidRDefault="00A31EA9" w:rsidP="00A31EA9">
      <w:pPr>
        <w:pStyle w:val="BodyText"/>
        <w:kinsoku w:val="0"/>
        <w:overflowPunct w:val="0"/>
        <w:spacing w:before="2"/>
        <w:ind w:left="0" w:firstLine="0"/>
        <w:rPr>
          <w:rFonts w:ascii="Times New Roman" w:hAnsi="Times New Roman" w:cs="Times New Roman"/>
          <w:b/>
          <w:bCs/>
          <w:sz w:val="24"/>
          <w:szCs w:val="24"/>
        </w:rPr>
      </w:pPr>
      <w:r w:rsidRPr="00B13A76">
        <w:rPr>
          <w:rFonts w:ascii="Times New Roman" w:hAnsi="Times New Roman" w:cs="Times New Roman"/>
          <w:b/>
          <w:bCs/>
          <w:sz w:val="24"/>
          <w:szCs w:val="24"/>
        </w:rPr>
        <w:t xml:space="preserve">Background on the Index Components </w:t>
      </w:r>
    </w:p>
    <w:p w:rsidR="00A31EA9" w:rsidRPr="00B13A76" w:rsidRDefault="00A31EA9" w:rsidP="00A31EA9">
      <w:pPr>
        <w:pStyle w:val="BodyText"/>
        <w:kinsoku w:val="0"/>
        <w:overflowPunct w:val="0"/>
        <w:ind w:left="0" w:right="218" w:firstLine="0"/>
        <w:rPr>
          <w:rFonts w:ascii="Times New Roman" w:hAnsi="Times New Roman" w:cs="Times New Roman"/>
          <w:i/>
          <w:iCs/>
          <w:sz w:val="24"/>
          <w:szCs w:val="24"/>
        </w:rPr>
      </w:pPr>
      <w:bookmarkStart w:id="23" w:name="Benchmark_Index"/>
      <w:bookmarkEnd w:id="23"/>
    </w:p>
    <w:p w:rsidR="00A31EA9" w:rsidRPr="00B13A76" w:rsidRDefault="00A31EA9" w:rsidP="00A31EA9">
      <w:pPr>
        <w:pStyle w:val="BodyText"/>
        <w:kinsoku w:val="0"/>
        <w:overflowPunct w:val="0"/>
        <w:ind w:left="0" w:right="218" w:firstLine="0"/>
        <w:rPr>
          <w:rFonts w:ascii="Times New Roman" w:hAnsi="Times New Roman" w:cs="Times New Roman"/>
          <w:sz w:val="24"/>
          <w:szCs w:val="24"/>
        </w:rPr>
      </w:pPr>
      <w:r w:rsidRPr="00B13A76">
        <w:rPr>
          <w:rFonts w:ascii="Times New Roman" w:hAnsi="Times New Roman" w:cs="Times New Roman"/>
          <w:i/>
          <w:iCs/>
          <w:sz w:val="24"/>
          <w:szCs w:val="24"/>
        </w:rPr>
        <w:t>Benchmark</w:t>
      </w:r>
      <w:r w:rsidR="006613B2" w:rsidRPr="00B13A76">
        <w:rPr>
          <w:rFonts w:ascii="Times New Roman" w:hAnsi="Times New Roman" w:cs="Times New Roman"/>
          <w:i/>
          <w:iCs/>
          <w:sz w:val="24"/>
          <w:szCs w:val="24"/>
        </w:rPr>
        <w:t xml:space="preserve"> </w:t>
      </w:r>
      <w:r w:rsidRPr="00B13A76">
        <w:rPr>
          <w:rFonts w:ascii="Times New Roman" w:hAnsi="Times New Roman" w:cs="Times New Roman"/>
          <w:i/>
          <w:iCs/>
          <w:sz w:val="24"/>
          <w:szCs w:val="24"/>
        </w:rPr>
        <w:t>Index</w:t>
      </w:r>
    </w:p>
    <w:p w:rsidR="00A31EA9" w:rsidRPr="00B13A76" w:rsidRDefault="00A31EA9" w:rsidP="00A31EA9">
      <w:pPr>
        <w:pStyle w:val="BodyText"/>
        <w:kinsoku w:val="0"/>
        <w:overflowPunct w:val="0"/>
        <w:spacing w:line="225" w:lineRule="auto"/>
        <w:ind w:left="0" w:right="218" w:firstLine="0"/>
        <w:rPr>
          <w:rFonts w:ascii="Times New Roman" w:hAnsi="Times New Roman" w:cs="Times New Roman"/>
          <w:spacing w:val="3"/>
          <w:sz w:val="24"/>
          <w:szCs w:val="24"/>
        </w:rPr>
      </w:pPr>
    </w:p>
    <w:p w:rsidR="00A31EA9" w:rsidRPr="00B13A76" w:rsidRDefault="00A31EA9" w:rsidP="00A31EA9">
      <w:pPr>
        <w:pStyle w:val="BodyText"/>
        <w:kinsoku w:val="0"/>
        <w:overflowPunct w:val="0"/>
        <w:spacing w:line="225" w:lineRule="auto"/>
        <w:ind w:left="0" w:right="218" w:firstLine="0"/>
        <w:rPr>
          <w:rFonts w:ascii="Times New Roman" w:hAnsi="Times New Roman" w:cs="Times New Roman"/>
          <w:sz w:val="24"/>
          <w:szCs w:val="24"/>
        </w:rPr>
      </w:pPr>
      <w:r w:rsidRPr="00B13A76">
        <w:rPr>
          <w:rFonts w:ascii="Times New Roman" w:hAnsi="Times New Roman" w:cs="Times New Roman"/>
          <w:spacing w:val="3"/>
          <w:sz w:val="24"/>
          <w:szCs w:val="24"/>
        </w:rPr>
        <w:t xml:space="preserve">We </w:t>
      </w:r>
      <w:r w:rsidRPr="00B13A76">
        <w:rPr>
          <w:rFonts w:ascii="Times New Roman" w:hAnsi="Times New Roman" w:cs="Times New Roman"/>
          <w:sz w:val="24"/>
          <w:szCs w:val="24"/>
        </w:rPr>
        <w:t xml:space="preserve">have derived all information contained in this index methodology regarding the S&amp;P </w:t>
      </w:r>
      <w:r w:rsidR="00130F41" w:rsidRPr="00B13A76">
        <w:rPr>
          <w:rFonts w:ascii="Times New Roman" w:hAnsi="Times New Roman" w:cs="Times New Roman"/>
          <w:sz w:val="24"/>
          <w:szCs w:val="24"/>
        </w:rPr>
        <w:t>Small Cap 6</w:t>
      </w:r>
      <w:r w:rsidRPr="00B13A76">
        <w:rPr>
          <w:rFonts w:ascii="Times New Roman" w:hAnsi="Times New Roman" w:cs="Times New Roman"/>
          <w:sz w:val="24"/>
          <w:szCs w:val="24"/>
        </w:rPr>
        <w:t>00 Total Return Index (the “</w:t>
      </w:r>
      <w:r w:rsidRPr="00B13A76">
        <w:rPr>
          <w:rFonts w:ascii="Times New Roman" w:hAnsi="Times New Roman" w:cs="Times New Roman"/>
          <w:b/>
          <w:bCs/>
          <w:sz w:val="24"/>
          <w:szCs w:val="24"/>
        </w:rPr>
        <w:t>Benchmark Index</w:t>
      </w:r>
      <w:r w:rsidRPr="00B13A76">
        <w:rPr>
          <w:rFonts w:ascii="Times New Roman" w:hAnsi="Times New Roman" w:cs="Times New Roman"/>
          <w:sz w:val="24"/>
          <w:szCs w:val="24"/>
        </w:rPr>
        <w:t>”), including, without limitation, their make-up, method</w:t>
      </w:r>
      <w:r w:rsidR="00D76988"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D76988" w:rsidRPr="00B13A76">
        <w:rPr>
          <w:rFonts w:ascii="Times New Roman" w:hAnsi="Times New Roman" w:cs="Times New Roman"/>
          <w:sz w:val="24"/>
          <w:szCs w:val="24"/>
        </w:rPr>
        <w:t xml:space="preserve"> </w:t>
      </w:r>
      <w:r w:rsidRPr="00B13A76">
        <w:rPr>
          <w:rFonts w:ascii="Times New Roman" w:hAnsi="Times New Roman" w:cs="Times New Roman"/>
          <w:sz w:val="24"/>
          <w:szCs w:val="24"/>
        </w:rPr>
        <w:t>calculation and changes in their components, from publicly available information. Such information reflects</w:t>
      </w:r>
      <w:r w:rsidR="00D76988"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D76988"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policies of, and is subject to change by, S&amp;P Dow Jones Indices. </w:t>
      </w:r>
    </w:p>
    <w:p w:rsidR="00A31EA9" w:rsidRPr="00B13A76" w:rsidRDefault="00A31EA9" w:rsidP="00A31EA9">
      <w:pPr>
        <w:pStyle w:val="BodyText"/>
        <w:kinsoku w:val="0"/>
        <w:overflowPunct w:val="0"/>
        <w:spacing w:before="158" w:line="242" w:lineRule="auto"/>
        <w:ind w:left="0" w:right="218" w:firstLine="0"/>
        <w:rPr>
          <w:rFonts w:ascii="Times New Roman" w:hAnsi="Times New Roman" w:cs="Times New Roman"/>
          <w:sz w:val="24"/>
          <w:szCs w:val="24"/>
        </w:rPr>
      </w:pPr>
      <w:r w:rsidRPr="00B13A76">
        <w:rPr>
          <w:rFonts w:ascii="Times New Roman" w:hAnsi="Times New Roman" w:cs="Times New Roman"/>
          <w:sz w:val="24"/>
          <w:szCs w:val="24"/>
        </w:rPr>
        <w:t xml:space="preserve">The Benchmark Index is widely distributed under the ticker symbol </w:t>
      </w:r>
      <w:r w:rsidR="00130F41" w:rsidRPr="00B13A76">
        <w:rPr>
          <w:rFonts w:ascii="Times New Roman" w:hAnsi="Times New Roman" w:cs="Times New Roman"/>
          <w:b/>
          <w:sz w:val="24"/>
          <w:szCs w:val="24"/>
        </w:rPr>
        <w:t>SPTRSMCP</w:t>
      </w:r>
      <w:r w:rsidRPr="00B13A76">
        <w:rPr>
          <w:rFonts w:ascii="Times New Roman" w:hAnsi="Times New Roman" w:cs="Times New Roman"/>
          <w:sz w:val="24"/>
          <w:szCs w:val="24"/>
        </w:rPr>
        <w:t xml:space="preserve">. </w:t>
      </w:r>
    </w:p>
    <w:p w:rsidR="00A31EA9" w:rsidRPr="00B13A76" w:rsidRDefault="00A31EA9" w:rsidP="00A31EA9">
      <w:pPr>
        <w:pStyle w:val="BodyText"/>
        <w:kinsoku w:val="0"/>
        <w:overflowPunct w:val="0"/>
        <w:ind w:left="0" w:right="218" w:firstLine="0"/>
        <w:rPr>
          <w:rFonts w:ascii="Times New Roman" w:hAnsi="Times New Roman" w:cs="Times New Roman"/>
          <w:b/>
          <w:i/>
          <w:iCs/>
          <w:sz w:val="24"/>
          <w:szCs w:val="24"/>
        </w:rPr>
      </w:pPr>
    </w:p>
    <w:p w:rsidR="00A31EA9" w:rsidRPr="00B13A76" w:rsidRDefault="00A31EA9" w:rsidP="00A31EA9">
      <w:pPr>
        <w:widowControl w:val="0"/>
        <w:autoSpaceDE w:val="0"/>
        <w:autoSpaceDN w:val="0"/>
        <w:adjustRightInd w:val="0"/>
        <w:rPr>
          <w:rFonts w:ascii="Times New Roman" w:hAnsi="Times New Roman" w:cs="Times New Roman"/>
          <w:b/>
        </w:rPr>
      </w:pPr>
      <w:r w:rsidRPr="00B13A76">
        <w:rPr>
          <w:rFonts w:ascii="Times New Roman" w:hAnsi="Times New Roman" w:cs="Times New Roman"/>
          <w:b/>
        </w:rPr>
        <w:t>Corporate Actions and Events</w:t>
      </w:r>
    </w:p>
    <w:p w:rsidR="00A31EA9" w:rsidRPr="00B13A76" w:rsidRDefault="00A31EA9" w:rsidP="00A31EA9">
      <w:pPr>
        <w:widowControl w:val="0"/>
        <w:autoSpaceDE w:val="0"/>
        <w:autoSpaceDN w:val="0"/>
        <w:adjustRightInd w:val="0"/>
        <w:rPr>
          <w:rFonts w:ascii="Times New Roman" w:hAnsi="Times New Roman" w:cs="Times New Roman"/>
        </w:rPr>
      </w:pPr>
    </w:p>
    <w:p w:rsidR="00A31EA9" w:rsidRPr="00B13A76" w:rsidRDefault="00A31EA9" w:rsidP="00A31EA9">
      <w:pPr>
        <w:widowControl w:val="0"/>
        <w:autoSpaceDE w:val="0"/>
        <w:autoSpaceDN w:val="0"/>
        <w:adjustRightInd w:val="0"/>
        <w:rPr>
          <w:rFonts w:ascii="Times New Roman" w:hAnsi="Times New Roman" w:cs="Times New Roman"/>
        </w:rPr>
      </w:pPr>
      <w:r w:rsidRPr="00B13A76">
        <w:rPr>
          <w:rFonts w:ascii="Times New Roman" w:hAnsi="Times New Roman" w:cs="Times New Roman"/>
        </w:rPr>
        <w:t xml:space="preserve">A Corporate ‘Action’ is an action on shareholders with a prescribed ex-date. The share price will be subject to an adjustment on the ex-date. The index will be adjusted in line with the ex-date. </w:t>
      </w:r>
    </w:p>
    <w:p w:rsidR="00A31EA9" w:rsidRPr="00B13A76" w:rsidRDefault="00A31EA9" w:rsidP="00A31EA9">
      <w:pPr>
        <w:widowControl w:val="0"/>
        <w:autoSpaceDE w:val="0"/>
        <w:autoSpaceDN w:val="0"/>
        <w:adjustRightInd w:val="0"/>
        <w:rPr>
          <w:rFonts w:ascii="Times New Roman" w:hAnsi="Times New Roman" w:cs="Times New Roman"/>
          <w:i/>
        </w:rPr>
      </w:pPr>
    </w:p>
    <w:p w:rsidR="00A31EA9" w:rsidRPr="00B13A76" w:rsidRDefault="00A31EA9" w:rsidP="00A31EA9">
      <w:pPr>
        <w:widowControl w:val="0"/>
        <w:autoSpaceDE w:val="0"/>
        <w:autoSpaceDN w:val="0"/>
        <w:adjustRightInd w:val="0"/>
        <w:rPr>
          <w:rFonts w:ascii="Times New Roman" w:hAnsi="Times New Roman" w:cs="Times New Roman"/>
        </w:rPr>
      </w:pPr>
      <w:r w:rsidRPr="00B13A76">
        <w:rPr>
          <w:rFonts w:ascii="Times New Roman" w:hAnsi="Times New Roman" w:cs="Times New Roman"/>
        </w:rPr>
        <w:t>A Corporate ‘Event’ is a reaction to company news (event) that may impact the index depending on the index rules. For example, a company announces a strategic shareholder is offering to sell their shares (secondary share offer) – this could result in a free float weighting change in the index.</w:t>
      </w:r>
    </w:p>
    <w:p w:rsidR="00A31EA9" w:rsidRPr="00B13A76" w:rsidRDefault="00A31EA9" w:rsidP="00A31EA9">
      <w:pPr>
        <w:widowControl w:val="0"/>
        <w:autoSpaceDE w:val="0"/>
        <w:autoSpaceDN w:val="0"/>
        <w:adjustRightInd w:val="0"/>
        <w:rPr>
          <w:rFonts w:ascii="Times New Roman" w:hAnsi="Times New Roman" w:cs="Times New Roman"/>
        </w:rPr>
      </w:pPr>
    </w:p>
    <w:p w:rsidR="00A31EA9" w:rsidRPr="00B13A76" w:rsidRDefault="00A31EA9" w:rsidP="00700648">
      <w:pPr>
        <w:rPr>
          <w:rFonts w:ascii="Times New Roman" w:hAnsi="Times New Roman" w:cs="Times New Roman"/>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1306ED" w:rsidRDefault="001306ED" w:rsidP="00A31EA9">
      <w:pPr>
        <w:rPr>
          <w:rFonts w:ascii="Times New Roman" w:hAnsi="Times New Roman" w:cs="Times New Roman"/>
          <w:b/>
          <w:bCs/>
          <w:color w:val="000000" w:themeColor="text1"/>
        </w:rPr>
      </w:pPr>
    </w:p>
    <w:p w:rsidR="00A31EA9" w:rsidRPr="00B13A76" w:rsidRDefault="00A31EA9" w:rsidP="00A31EA9">
      <w:pPr>
        <w:rPr>
          <w:rFonts w:ascii="Times New Roman" w:hAnsi="Times New Roman" w:cs="Times New Roman"/>
          <w:b/>
          <w:bCs/>
          <w:i/>
          <w:color w:val="000000" w:themeColor="text1"/>
        </w:rPr>
      </w:pPr>
      <w:r w:rsidRPr="00B13A76">
        <w:rPr>
          <w:rFonts w:ascii="Times New Roman" w:hAnsi="Times New Roman" w:cs="Times New Roman"/>
          <w:b/>
          <w:bCs/>
          <w:color w:val="000000" w:themeColor="text1"/>
        </w:rPr>
        <w:t xml:space="preserve">Corporate action rules </w:t>
      </w:r>
    </w:p>
    <w:p w:rsidR="00E618F1" w:rsidRPr="00B13A76" w:rsidRDefault="00E618F1" w:rsidP="00A31EA9">
      <w:pPr>
        <w:rPr>
          <w:rFonts w:ascii="Times New Roman" w:hAnsi="Times New Roman" w:cs="Times New Roman"/>
          <w:b/>
          <w:bCs/>
        </w:rPr>
      </w:pPr>
    </w:p>
    <w:tbl>
      <w:tblPr>
        <w:tblW w:w="11670" w:type="dxa"/>
        <w:tblInd w:w="-683" w:type="dxa"/>
        <w:tblLayout w:type="fixed"/>
        <w:tblCellMar>
          <w:left w:w="30" w:type="dxa"/>
          <w:right w:w="30" w:type="dxa"/>
        </w:tblCellMar>
        <w:tblLook w:val="0000" w:firstRow="0" w:lastRow="0" w:firstColumn="0" w:lastColumn="0" w:noHBand="0" w:noVBand="0"/>
      </w:tblPr>
      <w:tblGrid>
        <w:gridCol w:w="2910"/>
        <w:gridCol w:w="270"/>
        <w:gridCol w:w="1710"/>
        <w:gridCol w:w="6780"/>
      </w:tblGrid>
      <w:tr w:rsidR="00225875" w:rsidRPr="00B13A76" w:rsidTr="00225875">
        <w:trPr>
          <w:trHeight w:val="290"/>
        </w:trPr>
        <w:tc>
          <w:tcPr>
            <w:tcW w:w="2910" w:type="dxa"/>
            <w:tcBorders>
              <w:top w:val="single" w:sz="6" w:space="0" w:color="auto"/>
              <w:left w:val="single" w:sz="6" w:space="0" w:color="auto"/>
              <w:bottom w:val="single" w:sz="6" w:space="0" w:color="auto"/>
              <w:right w:val="single" w:sz="6" w:space="0" w:color="auto"/>
            </w:tcBorders>
          </w:tcPr>
          <w:p w:rsidR="00225875" w:rsidRPr="00B13A76" w:rsidRDefault="00225875">
            <w:pPr>
              <w:autoSpaceDE w:val="0"/>
              <w:autoSpaceDN w:val="0"/>
              <w:adjustRightInd w:val="0"/>
              <w:rPr>
                <w:rFonts w:ascii="Calibri" w:hAnsi="Calibri" w:cs="Calibri"/>
                <w:b/>
                <w:bCs/>
                <w:color w:val="000000"/>
                <w:sz w:val="22"/>
                <w:szCs w:val="22"/>
              </w:rPr>
            </w:pPr>
            <w:r w:rsidRPr="00B13A76">
              <w:rPr>
                <w:rFonts w:ascii="Calibri" w:hAnsi="Calibri" w:cs="Calibri"/>
                <w:b/>
                <w:bCs/>
                <w:color w:val="000000"/>
                <w:sz w:val="22"/>
                <w:szCs w:val="22"/>
              </w:rPr>
              <w:t>Options (click on cell A4 to see options):</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B13A76"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tcPr>
          <w:p w:rsidR="00225875" w:rsidRPr="00B13A76" w:rsidRDefault="00225875">
            <w:pPr>
              <w:autoSpaceDE w:val="0"/>
              <w:autoSpaceDN w:val="0"/>
              <w:adjustRightInd w:val="0"/>
              <w:rPr>
                <w:rFonts w:ascii="Calibri" w:hAnsi="Calibri" w:cs="Calibri"/>
                <w:b/>
                <w:bCs/>
                <w:color w:val="000000"/>
                <w:sz w:val="22"/>
                <w:szCs w:val="22"/>
              </w:rPr>
            </w:pPr>
            <w:r w:rsidRPr="00B13A76">
              <w:rPr>
                <w:rFonts w:ascii="Calibri" w:hAnsi="Calibri" w:cs="Calibri"/>
                <w:b/>
                <w:bCs/>
                <w:color w:val="000000"/>
                <w:sz w:val="22"/>
                <w:szCs w:val="22"/>
              </w:rPr>
              <w:t>Comments</w:t>
            </w:r>
          </w:p>
        </w:tc>
        <w:tc>
          <w:tcPr>
            <w:tcW w:w="6780" w:type="dxa"/>
            <w:tcBorders>
              <w:top w:val="single" w:sz="6" w:space="0" w:color="auto"/>
              <w:left w:val="single" w:sz="6" w:space="0" w:color="auto"/>
              <w:bottom w:val="single" w:sz="6" w:space="0" w:color="auto"/>
              <w:right w:val="single" w:sz="6" w:space="0" w:color="auto"/>
            </w:tcBorders>
          </w:tcPr>
          <w:p w:rsidR="00225875" w:rsidRPr="00B13A76" w:rsidRDefault="00225875">
            <w:pPr>
              <w:autoSpaceDE w:val="0"/>
              <w:autoSpaceDN w:val="0"/>
              <w:adjustRightInd w:val="0"/>
              <w:jc w:val="right"/>
              <w:rPr>
                <w:rFonts w:ascii="Calibri" w:hAnsi="Calibri" w:cs="Calibri"/>
                <w:color w:val="000000"/>
                <w:sz w:val="22"/>
                <w:szCs w:val="22"/>
              </w:rPr>
            </w:pPr>
          </w:p>
        </w:tc>
      </w:tr>
      <w:tr w:rsidR="00225875" w:rsidRPr="00B13A76" w:rsidTr="00225875">
        <w:trPr>
          <w:trHeight w:val="958"/>
        </w:trPr>
        <w:tc>
          <w:tcPr>
            <w:tcW w:w="2910" w:type="dxa"/>
            <w:tcBorders>
              <w:top w:val="single" w:sz="6" w:space="0" w:color="auto"/>
              <w:left w:val="single" w:sz="6" w:space="0" w:color="auto"/>
              <w:bottom w:val="single" w:sz="6" w:space="0" w:color="auto"/>
              <w:right w:val="single" w:sz="6" w:space="0" w:color="auto"/>
            </w:tcBorders>
            <w:shd w:val="solid" w:color="FFFF00" w:fill="auto"/>
          </w:tcPr>
          <w:p w:rsidR="00225875" w:rsidRPr="00B13A76" w:rsidRDefault="00225875">
            <w:pPr>
              <w:autoSpaceDE w:val="0"/>
              <w:autoSpaceDN w:val="0"/>
              <w:adjustRightInd w:val="0"/>
              <w:rPr>
                <w:rFonts w:ascii="Calibri" w:hAnsi="Calibri" w:cs="Calibri"/>
                <w:color w:val="000000"/>
                <w:sz w:val="22"/>
                <w:szCs w:val="22"/>
              </w:rPr>
            </w:pPr>
            <w:r w:rsidRPr="00B13A76">
              <w:rPr>
                <w:rFonts w:ascii="Calibri" w:hAnsi="Calibri" w:cs="Calibri"/>
                <w:color w:val="000000"/>
                <w:sz w:val="22"/>
                <w:szCs w:val="22"/>
              </w:rPr>
              <w:t>Option 1, Standard corporate actions treatment</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B13A76"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solid" w:color="FFFF00" w:fill="auto"/>
          </w:tcPr>
          <w:p w:rsidR="00225875" w:rsidRPr="00B13A76" w:rsidRDefault="00225875">
            <w:pPr>
              <w:autoSpaceDE w:val="0"/>
              <w:autoSpaceDN w:val="0"/>
              <w:adjustRightInd w:val="0"/>
              <w:rPr>
                <w:rFonts w:ascii="Calibri" w:hAnsi="Calibri" w:cs="Calibri"/>
                <w:color w:val="000000"/>
                <w:sz w:val="22"/>
                <w:szCs w:val="22"/>
              </w:rPr>
            </w:pPr>
            <w:r w:rsidRPr="00B13A76">
              <w:rPr>
                <w:rFonts w:ascii="Calibri" w:hAnsi="Calibri" w:cs="Calibri"/>
                <w:color w:val="000000"/>
                <w:sz w:val="22"/>
                <w:szCs w:val="22"/>
              </w:rPr>
              <w:t>Always follow the parent index corporate actions treatment (this requires matching all adds/drops &amp; composition changes of the parent).</w:t>
            </w:r>
          </w:p>
        </w:tc>
        <w:tc>
          <w:tcPr>
            <w:tcW w:w="6780" w:type="dxa"/>
            <w:tcBorders>
              <w:top w:val="single" w:sz="6" w:space="0" w:color="auto"/>
              <w:left w:val="single" w:sz="6" w:space="0" w:color="auto"/>
              <w:bottom w:val="single" w:sz="6" w:space="0" w:color="auto"/>
              <w:right w:val="single" w:sz="6" w:space="0" w:color="auto"/>
            </w:tcBorders>
            <w:shd w:val="solid" w:color="FFFF00" w:fill="auto"/>
          </w:tcPr>
          <w:p w:rsidR="00225875" w:rsidRPr="00B13A76" w:rsidRDefault="00225875">
            <w:pPr>
              <w:autoSpaceDE w:val="0"/>
              <w:autoSpaceDN w:val="0"/>
              <w:adjustRightInd w:val="0"/>
              <w:rPr>
                <w:rFonts w:ascii="Calibri" w:hAnsi="Calibri" w:cs="Calibri"/>
                <w:b/>
                <w:bCs/>
                <w:color w:val="000000"/>
                <w:sz w:val="22"/>
                <w:szCs w:val="22"/>
              </w:rPr>
            </w:pPr>
            <w:r w:rsidRPr="00B13A76">
              <w:rPr>
                <w:rFonts w:ascii="Calibri" w:hAnsi="Calibri" w:cs="Calibri"/>
                <w:b/>
                <w:bCs/>
                <w:color w:val="000000"/>
                <w:sz w:val="22"/>
                <w:szCs w:val="22"/>
              </w:rPr>
              <w:t xml:space="preserve">*Select approach (click on cell A4 to see options) </w:t>
            </w:r>
          </w:p>
        </w:tc>
      </w:tr>
    </w:tbl>
    <w:p w:rsidR="00A31EA9" w:rsidRPr="00B13A76"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spacing w:before="10"/>
        <w:ind w:left="0" w:firstLine="0"/>
        <w:rPr>
          <w:rFonts w:ascii="Times New Roman" w:hAnsi="Times New Roman" w:cs="Times New Roman"/>
          <w:b/>
          <w:bCs/>
          <w:sz w:val="24"/>
          <w:szCs w:val="24"/>
        </w:rPr>
      </w:pPr>
    </w:p>
    <w:p w:rsidR="00677EAC" w:rsidRPr="00B13A76" w:rsidRDefault="00677EAC" w:rsidP="00A31EA9">
      <w:pPr>
        <w:pStyle w:val="BodyText"/>
        <w:kinsoku w:val="0"/>
        <w:overflowPunct w:val="0"/>
        <w:spacing w:before="10"/>
        <w:ind w:left="0" w:firstLine="0"/>
        <w:rPr>
          <w:rFonts w:ascii="Times New Roman" w:hAnsi="Times New Roman" w:cs="Times New Roman"/>
          <w:b/>
          <w:bCs/>
          <w:sz w:val="24"/>
          <w:szCs w:val="24"/>
        </w:rPr>
      </w:pPr>
    </w:p>
    <w:p w:rsidR="00677EAC" w:rsidRPr="00B13A76" w:rsidRDefault="00677EAC" w:rsidP="00A31EA9">
      <w:pPr>
        <w:pStyle w:val="BodyText"/>
        <w:kinsoku w:val="0"/>
        <w:overflowPunct w:val="0"/>
        <w:spacing w:before="10"/>
        <w:ind w:left="0" w:firstLine="0"/>
        <w:rPr>
          <w:rFonts w:ascii="Times New Roman" w:hAnsi="Times New Roman" w:cs="Times New Roman"/>
          <w:b/>
          <w:bCs/>
          <w:sz w:val="24"/>
          <w:szCs w:val="24"/>
        </w:rPr>
      </w:pPr>
    </w:p>
    <w:p w:rsidR="003E50F9" w:rsidRPr="00B13A76" w:rsidRDefault="003E50F9"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5D6E04" w:rsidRPr="00B13A76" w:rsidRDefault="005D6E04" w:rsidP="00A31EA9">
      <w:pPr>
        <w:pStyle w:val="BodyText"/>
        <w:kinsoku w:val="0"/>
        <w:overflowPunct w:val="0"/>
        <w:spacing w:before="10"/>
        <w:ind w:left="0" w:firstLine="0"/>
        <w:rPr>
          <w:rFonts w:ascii="Times New Roman" w:hAnsi="Times New Roman" w:cs="Times New Roman"/>
          <w:b/>
          <w:bCs/>
          <w:sz w:val="24"/>
          <w:szCs w:val="24"/>
        </w:rPr>
      </w:pPr>
    </w:p>
    <w:p w:rsidR="00093BA1" w:rsidRPr="00B13A76" w:rsidRDefault="00093BA1"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2B278B" w:rsidRDefault="002B278B" w:rsidP="00A31EA9">
      <w:pPr>
        <w:pStyle w:val="BodyText"/>
        <w:kinsoku w:val="0"/>
        <w:overflowPunct w:val="0"/>
        <w:spacing w:before="10"/>
        <w:ind w:left="0" w:firstLine="0"/>
        <w:rPr>
          <w:rFonts w:ascii="Times New Roman" w:hAnsi="Times New Roman" w:cs="Times New Roman"/>
          <w:b/>
          <w:bCs/>
          <w:sz w:val="24"/>
          <w:szCs w:val="24"/>
        </w:rPr>
      </w:pPr>
    </w:p>
    <w:p w:rsidR="001306ED" w:rsidRDefault="001306ED" w:rsidP="00A31EA9">
      <w:pPr>
        <w:pStyle w:val="BodyText"/>
        <w:kinsoku w:val="0"/>
        <w:overflowPunct w:val="0"/>
        <w:spacing w:before="10"/>
        <w:ind w:left="0" w:firstLine="0"/>
        <w:rPr>
          <w:rFonts w:ascii="Times New Roman" w:hAnsi="Times New Roman" w:cs="Times New Roman"/>
          <w:b/>
          <w:bCs/>
          <w:sz w:val="24"/>
          <w:szCs w:val="24"/>
        </w:rPr>
      </w:pPr>
    </w:p>
    <w:p w:rsidR="001306ED" w:rsidRDefault="001306ED" w:rsidP="00A31EA9">
      <w:pPr>
        <w:pStyle w:val="BodyText"/>
        <w:kinsoku w:val="0"/>
        <w:overflowPunct w:val="0"/>
        <w:spacing w:before="10"/>
        <w:ind w:left="0" w:firstLine="0"/>
        <w:rPr>
          <w:rFonts w:ascii="Times New Roman" w:hAnsi="Times New Roman" w:cs="Times New Roman"/>
          <w:b/>
          <w:bCs/>
          <w:sz w:val="24"/>
          <w:szCs w:val="24"/>
        </w:rPr>
      </w:pPr>
    </w:p>
    <w:p w:rsidR="001306ED" w:rsidRDefault="001306ED" w:rsidP="00A31EA9">
      <w:pPr>
        <w:pStyle w:val="BodyText"/>
        <w:kinsoku w:val="0"/>
        <w:overflowPunct w:val="0"/>
        <w:spacing w:before="10"/>
        <w:ind w:left="0" w:firstLine="0"/>
        <w:rPr>
          <w:rFonts w:ascii="Times New Roman" w:hAnsi="Times New Roman" w:cs="Times New Roman"/>
          <w:b/>
          <w:bCs/>
          <w:sz w:val="24"/>
          <w:szCs w:val="24"/>
        </w:rPr>
      </w:pPr>
    </w:p>
    <w:p w:rsidR="00A31EA9" w:rsidRPr="00B13A76" w:rsidRDefault="00A31EA9" w:rsidP="00A31EA9">
      <w:pPr>
        <w:pStyle w:val="BodyText"/>
        <w:kinsoku w:val="0"/>
        <w:overflowPunct w:val="0"/>
        <w:spacing w:before="10"/>
        <w:ind w:left="0" w:firstLine="0"/>
        <w:rPr>
          <w:rFonts w:ascii="Times New Roman" w:hAnsi="Times New Roman" w:cs="Times New Roman"/>
          <w:sz w:val="24"/>
          <w:szCs w:val="24"/>
        </w:rPr>
      </w:pPr>
      <w:bookmarkStart w:id="24" w:name="_GoBack"/>
      <w:bookmarkEnd w:id="24"/>
      <w:r w:rsidRPr="00B13A76">
        <w:rPr>
          <w:rFonts w:ascii="Times New Roman" w:hAnsi="Times New Roman" w:cs="Times New Roman"/>
          <w:b/>
          <w:bCs/>
          <w:sz w:val="24"/>
          <w:szCs w:val="24"/>
        </w:rPr>
        <w:t>License Agreement</w:t>
      </w:r>
    </w:p>
    <w:p w:rsidR="00A31EA9" w:rsidRPr="00B13A76" w:rsidRDefault="00A31EA9" w:rsidP="00A31EA9">
      <w:pPr>
        <w:pStyle w:val="BodyText"/>
        <w:kinsoku w:val="0"/>
        <w:overflowPunct w:val="0"/>
        <w:spacing w:line="220" w:lineRule="auto"/>
        <w:ind w:right="230" w:firstLine="360"/>
        <w:rPr>
          <w:rFonts w:ascii="Times New Roman" w:hAnsi="Times New Roman" w:cs="Times New Roman"/>
          <w:sz w:val="24"/>
          <w:szCs w:val="24"/>
        </w:rPr>
      </w:pPr>
    </w:p>
    <w:p w:rsidR="00A31EA9" w:rsidRPr="00B13A76" w:rsidRDefault="00A31EA9" w:rsidP="00A31EA9">
      <w:pPr>
        <w:pStyle w:val="BodyText"/>
        <w:kinsoku w:val="0"/>
        <w:overflowPunct w:val="0"/>
        <w:spacing w:line="220" w:lineRule="auto"/>
        <w:ind w:right="230" w:firstLine="360"/>
        <w:rPr>
          <w:rFonts w:ascii="Times New Roman" w:hAnsi="Times New Roman" w:cs="Times New Roman"/>
          <w:sz w:val="24"/>
          <w:szCs w:val="24"/>
        </w:rPr>
      </w:pPr>
      <w:r w:rsidRPr="00B13A76">
        <w:rPr>
          <w:rFonts w:ascii="Times New Roman" w:hAnsi="Times New Roman" w:cs="Times New Roman"/>
          <w:sz w:val="24"/>
          <w:szCs w:val="24"/>
        </w:rPr>
        <w:t xml:space="preserve">S&amp;P Dow Jones Indices has entered into a non-transferable, non-exclusive license agreement granting </w:t>
      </w:r>
      <w:r w:rsidR="001A2482" w:rsidRPr="00B13A76">
        <w:rPr>
          <w:rFonts w:ascii="Times New Roman" w:hAnsi="Times New Roman" w:cs="Times New Roman"/>
          <w:sz w:val="24"/>
          <w:szCs w:val="24"/>
        </w:rPr>
        <w:t>Pacer Advisors Inc</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and certain of its affiliated or subsidiary companies, in exchange for a fee, the right to use the S&amp;P </w:t>
      </w:r>
      <w:r w:rsidR="00867C62" w:rsidRPr="00B13A76">
        <w:rPr>
          <w:rFonts w:ascii="Times New Roman" w:hAnsi="Times New Roman" w:cs="Times New Roman"/>
          <w:sz w:val="24"/>
          <w:szCs w:val="24"/>
        </w:rPr>
        <w:t>500</w:t>
      </w:r>
      <w:r w:rsidRPr="00B13A76">
        <w:rPr>
          <w:rFonts w:ascii="Times New Roman" w:hAnsi="Times New Roman" w:cs="Times New Roman"/>
          <w:sz w:val="24"/>
          <w:szCs w:val="24"/>
        </w:rPr>
        <w: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which is owned and published by S&amp;P Dow Jones Indices, in connection with certain securities, including</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 ETFs.</w:t>
      </w:r>
    </w:p>
    <w:p w:rsidR="00A31EA9" w:rsidRPr="00B13A76" w:rsidRDefault="00A31EA9" w:rsidP="00A31EA9">
      <w:pPr>
        <w:pStyle w:val="BodyText"/>
        <w:kinsoku w:val="0"/>
        <w:overflowPunct w:val="0"/>
        <w:spacing w:before="2"/>
        <w:ind w:left="0" w:firstLine="0"/>
        <w:rPr>
          <w:rFonts w:ascii="Times New Roman" w:hAnsi="Times New Roman" w:cs="Times New Roman"/>
          <w:sz w:val="24"/>
          <w:szCs w:val="24"/>
        </w:rPr>
      </w:pPr>
    </w:p>
    <w:p w:rsidR="00A31EA9" w:rsidRPr="00B13A76" w:rsidRDefault="00A31EA9" w:rsidP="00A31EA9">
      <w:pPr>
        <w:pStyle w:val="BodyText"/>
        <w:kinsoku w:val="0"/>
        <w:overflowPunct w:val="0"/>
        <w:spacing w:line="242" w:lineRule="auto"/>
        <w:rPr>
          <w:rFonts w:ascii="Times New Roman" w:hAnsi="Times New Roman" w:cs="Times New Roman"/>
          <w:sz w:val="24"/>
          <w:szCs w:val="24"/>
        </w:rPr>
      </w:pPr>
      <w:r w:rsidRPr="00B13A76">
        <w:rPr>
          <w:rFonts w:ascii="Times New Roman" w:hAnsi="Times New Roman" w:cs="Times New Roman"/>
          <w:sz w:val="24"/>
          <w:szCs w:val="24"/>
        </w:rPr>
        <w:t xml:space="preserve">The license agreement between S&amp;P Dow Jones Indices and </w:t>
      </w:r>
      <w:r w:rsidR="001A2482" w:rsidRPr="00B13A76">
        <w:rPr>
          <w:rFonts w:ascii="Times New Roman" w:hAnsi="Times New Roman" w:cs="Times New Roman"/>
          <w:sz w:val="24"/>
          <w:szCs w:val="24"/>
        </w:rPr>
        <w:t>Pacer Advisors Inc</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provides that the following language must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be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set forth in all written materials including but not limited to; marketing material, prospectus, website, etc.</w:t>
      </w:r>
    </w:p>
    <w:p w:rsidR="00A31EA9" w:rsidRPr="00B13A76"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B13A76" w:rsidRDefault="00A31EA9" w:rsidP="00A31EA9">
      <w:pPr>
        <w:pStyle w:val="BodyText"/>
        <w:kinsoku w:val="0"/>
        <w:overflowPunct w:val="0"/>
        <w:rPr>
          <w:rFonts w:ascii="Times New Roman" w:hAnsi="Times New Roman" w:cs="Times New Roman"/>
          <w:sz w:val="24"/>
          <w:szCs w:val="24"/>
        </w:rPr>
      </w:pPr>
      <w:r w:rsidRPr="00B13A76">
        <w:rPr>
          <w:rFonts w:ascii="Times New Roman" w:hAnsi="Times New Roman" w:cs="Times New Roman"/>
          <w:sz w:val="24"/>
          <w:szCs w:val="24"/>
        </w:rPr>
        <w:t>The ETFs are not sponsored, endorsed, sold or promoted by S&amp;P Dow Jones Indices, 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of</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their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respective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affiliates”)</w:t>
      </w:r>
      <w:r w:rsidR="001A2482"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their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third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party</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licensors. Neither S&amp;P Dow Jones Indices nor their third party licensors make any representation 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warranty,</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express or implied, to the owners of the ETFs or any member of the public regarding the advisability of</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investing</w:t>
      </w:r>
      <w:r w:rsidRPr="00B13A76">
        <w:rPr>
          <w:rFonts w:ascii="Times New Roman" w:hAnsi="Times New Roman" w:cs="Times New Roman"/>
          <w:spacing w:val="-1"/>
          <w:w w:val="99"/>
          <w:sz w:val="24"/>
          <w:szCs w:val="24"/>
        </w:rPr>
        <w:t xml:space="preserve"> in</w:t>
      </w:r>
      <w:r w:rsidRPr="00B13A76">
        <w:rPr>
          <w:rFonts w:ascii="Times New Roman" w:hAnsi="Times New Roman" w:cs="Times New Roman"/>
          <w:sz w:val="24"/>
          <w:szCs w:val="24"/>
        </w:rPr>
        <w:t xml:space="preserve"> securities generally or in the ETFs particularly or the ability of the S&amp;P Small Cap 600 Index to track general stock</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market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performance. S&amp;P Dow Jones Indices and their third party licensor’s only relationship to </w:t>
      </w:r>
      <w:r w:rsidR="001A2482" w:rsidRPr="00B13A76">
        <w:rPr>
          <w:rFonts w:ascii="Times New Roman" w:hAnsi="Times New Roman" w:cs="Times New Roman"/>
          <w:sz w:val="24"/>
          <w:szCs w:val="24"/>
        </w:rPr>
        <w:t>Pacer Advisors Inc</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is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 licensing of certain trademarks, service marks and trade names of S&amp;P Dow Jones Indices and/or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their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third party licensors and for the providing of calculation and maintenance services related to the Index.</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Neither S&amp;P Dow Jones Indices nor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their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third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party</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licensors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are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responsible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for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and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have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not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participated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in</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determination of the prices and amount of the ETFs or the timing of the issuance or sale of the ETFs or in</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determination or calculation of the equation by which the ETFs ar</w:t>
      </w:r>
      <w:r w:rsidR="00F25FEF" w:rsidRPr="00B13A76">
        <w:rPr>
          <w:rFonts w:ascii="Times New Roman" w:hAnsi="Times New Roman" w:cs="Times New Roman"/>
          <w:sz w:val="24"/>
          <w:szCs w:val="24"/>
        </w:rPr>
        <w:t>e to be converted into cash.</w:t>
      </w:r>
      <w:r w:rsidRPr="00B13A76">
        <w:rPr>
          <w:rFonts w:ascii="Times New Roman" w:hAnsi="Times New Roman" w:cs="Times New Roman"/>
          <w:sz w:val="24"/>
          <w:szCs w:val="24"/>
        </w:rPr>
        <w:t xml:space="preserve"> S&amp;P Dow Jones Indices </w:t>
      </w:r>
      <w:r w:rsidR="00F25FEF" w:rsidRPr="00B13A76">
        <w:rPr>
          <w:rFonts w:ascii="Times New Roman" w:hAnsi="Times New Roman" w:cs="Times New Roman"/>
          <w:sz w:val="24"/>
          <w:szCs w:val="24"/>
        </w:rPr>
        <w:t xml:space="preserve">has </w:t>
      </w:r>
      <w:r w:rsidRPr="00B13A76">
        <w:rPr>
          <w:rFonts w:ascii="Times New Roman" w:hAnsi="Times New Roman" w:cs="Times New Roman"/>
          <w:sz w:val="24"/>
          <w:szCs w:val="24"/>
        </w:rPr>
        <w:t>no obligation or liability in connection with the administration, marketing or trading of</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ETFs. S&amp;P Dow Jones Indices and its subsidiaries are not investment advisors. Inclusion of a security 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futures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contract within an index is not a recommendation by S&amp;P Dow Jones Indices or its subsidiaries to buy, sell,</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hold such security or futures contract, nor is it considered to be investment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advice.</w:t>
      </w:r>
    </w:p>
    <w:p w:rsidR="00A31EA9" w:rsidRPr="00B13A76" w:rsidRDefault="00A31EA9" w:rsidP="00A31EA9">
      <w:pPr>
        <w:pStyle w:val="BodyText"/>
        <w:kinsoku w:val="0"/>
        <w:overflowPunct w:val="0"/>
        <w:spacing w:before="9"/>
        <w:ind w:left="0" w:firstLine="0"/>
        <w:rPr>
          <w:rFonts w:ascii="Times New Roman" w:hAnsi="Times New Roman" w:cs="Times New Roman"/>
          <w:sz w:val="24"/>
          <w:szCs w:val="24"/>
        </w:rPr>
      </w:pPr>
    </w:p>
    <w:p w:rsidR="00A31EA9" w:rsidRPr="00B53649" w:rsidRDefault="00A31EA9" w:rsidP="00A31EA9">
      <w:pPr>
        <w:pStyle w:val="Heading4"/>
        <w:kinsoku w:val="0"/>
        <w:overflowPunct w:val="0"/>
        <w:spacing w:line="228" w:lineRule="auto"/>
        <w:ind w:right="128" w:firstLine="359"/>
        <w:rPr>
          <w:rFonts w:ascii="Times New Roman" w:hAnsi="Times New Roman" w:cs="Times New Roman"/>
          <w:sz w:val="24"/>
          <w:szCs w:val="24"/>
        </w:rPr>
        <w:sectPr w:rsidR="00A31EA9" w:rsidRPr="00B53649" w:rsidSect="00D76988">
          <w:footerReference w:type="even" r:id="rId7"/>
          <w:footerReference w:type="default" r:id="rId8"/>
          <w:pgSz w:w="12240" w:h="15840"/>
          <w:pgMar w:top="1020" w:right="980" w:bottom="920" w:left="960" w:header="0" w:footer="727" w:gutter="0"/>
          <w:cols w:space="720" w:equalWidth="0">
            <w:col w:w="10300"/>
          </w:cols>
          <w:noEndnote/>
        </w:sectPr>
      </w:pPr>
      <w:r w:rsidRPr="00B13A76">
        <w:rPr>
          <w:rFonts w:ascii="Times New Roman" w:hAnsi="Times New Roman" w:cs="Times New Roman"/>
          <w:sz w:val="24"/>
          <w:szCs w:val="24"/>
        </w:rPr>
        <w:t>NEITHER S&amp;P DOW JONES INDICES NOR THEIR THIRD PARTY LICENSORS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GUARANTEE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 ADEQUACY, ACCURACY, TIMELINESS OR COMPLETENESS OF THE S&amp;P SMALL CAP 600 INDEX</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ANY</w:t>
      </w:r>
      <w:r w:rsidRPr="00B13A76">
        <w:rPr>
          <w:rFonts w:ascii="Times New Roman" w:hAnsi="Times New Roman" w:cs="Times New Roman"/>
          <w:w w:val="99"/>
          <w:sz w:val="24"/>
          <w:szCs w:val="24"/>
        </w:rPr>
        <w:t xml:space="preserve"> DATA</w:t>
      </w:r>
      <w:r w:rsidRPr="00B13A76">
        <w:rPr>
          <w:rFonts w:ascii="Times New Roman" w:hAnsi="Times New Roman" w:cs="Times New Roman"/>
          <w:sz w:val="24"/>
          <w:szCs w:val="24"/>
        </w:rPr>
        <w:t xml:space="preserve"> INCLUDED THEREIN OR ANY COMMUNICATIONS, INCLUDING BUT NOT LIMITED TO, ORAL</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WRITTEN COMMUNICATIONS (INCLUDING ELECTRONIC COMMUNICATIONS) WITH RESPECT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THERETO. S&amp;P DOW JONES INDICES AND THEIR THIRD PARTY LICENSORS SHALL NOT BE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SUBJECT</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TO </w:t>
      </w:r>
      <w:r w:rsidRPr="00B13A76">
        <w:rPr>
          <w:rFonts w:ascii="Times New Roman" w:hAnsi="Times New Roman" w:cs="Times New Roman"/>
          <w:spacing w:val="-3"/>
          <w:sz w:val="24"/>
          <w:szCs w:val="24"/>
        </w:rPr>
        <w:t xml:space="preserve">ANY </w:t>
      </w:r>
      <w:r w:rsidRPr="00B13A76">
        <w:rPr>
          <w:rFonts w:ascii="Times New Roman" w:hAnsi="Times New Roman" w:cs="Times New Roman"/>
          <w:sz w:val="24"/>
          <w:szCs w:val="24"/>
        </w:rPr>
        <w:t xml:space="preserve">DAMAGES OR LIABILITY FOR ANY ERRORS, OMISSIONS OR DELAYS THEREIN. S&amp;P DOW JONES INDICES </w:t>
      </w:r>
      <w:r w:rsidRPr="00B13A76">
        <w:rPr>
          <w:rFonts w:ascii="Times New Roman" w:hAnsi="Times New Roman" w:cs="Times New Roman"/>
          <w:spacing w:val="-5"/>
          <w:sz w:val="24"/>
          <w:szCs w:val="24"/>
        </w:rPr>
        <w:t xml:space="preserve">ENTITIES </w:t>
      </w:r>
      <w:r w:rsidRPr="00B13A76">
        <w:rPr>
          <w:rFonts w:ascii="Times New Roman" w:hAnsi="Times New Roman" w:cs="Times New Roman"/>
          <w:sz w:val="24"/>
          <w:szCs w:val="24"/>
        </w:rPr>
        <w:t>MAKE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NO</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EXPRESS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IMPLIED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WARRANTIES,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AND</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EXPRESSLY</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DISCLAIM</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ALL WARRANTIES OF MERCHANTABILITY OR FITNESS FOR A PARTICULAR PURPOSE OR USE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WITH RESPECT TO THEIR MARKS, THE S&amp;P SMALL CAP 600 INDEX</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OR ANY DATA INCLUDED THEREIN.WITHOUT</w:t>
      </w:r>
      <w:r w:rsidR="006A287C" w:rsidRPr="00B13A76">
        <w:rPr>
          <w:rFonts w:ascii="Times New Roman" w:hAnsi="Times New Roman" w:cs="Times New Roman"/>
          <w:sz w:val="24"/>
          <w:szCs w:val="24"/>
        </w:rPr>
        <w:t xml:space="preserve"> </w:t>
      </w:r>
      <w:r w:rsidRPr="00B13A76">
        <w:rPr>
          <w:rFonts w:ascii="Times New Roman" w:hAnsi="Times New Roman" w:cs="Times New Roman"/>
          <w:sz w:val="24"/>
          <w:szCs w:val="24"/>
        </w:rPr>
        <w:t xml:space="preserve">LIMITING </w:t>
      </w:r>
      <w:r w:rsidRPr="00B13A76">
        <w:rPr>
          <w:rFonts w:ascii="Times New Roman" w:hAnsi="Times New Roman" w:cs="Times New Roman"/>
          <w:spacing w:val="-3"/>
          <w:sz w:val="24"/>
          <w:szCs w:val="24"/>
        </w:rPr>
        <w:t xml:space="preserve">ANY </w:t>
      </w:r>
      <w:r w:rsidRPr="00B13A76">
        <w:rPr>
          <w:rFonts w:ascii="Times New Roman" w:hAnsi="Times New Roman" w:cs="Times New Roman"/>
          <w:sz w:val="24"/>
          <w:szCs w:val="24"/>
        </w:rPr>
        <w:t>OF THE FOREGOING, IN NO EVENT WHATSOEVER SHALL S&amp;P DOW JONES INDICES ENTITIES OR THEIR THIRD PARTY LICENSORS BE LIABLE FOR ANY INDIRECT, SPECIAL,</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INCIDENTAL,</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PUNITIVE OR CONSEQUENTIAL DAMAGES, INCLUDING BUT NOT LIMITED TO, LOSS OF</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PROFITS,</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TRADING LOSSES, LOST TIME OR GOODWILL, EVEN IF THEY HAVE BEEN ADVISED OF</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THE</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POSSIBILITY OF SUCH DAMAGES, WHETHER IN CONTRACT, TORT, STRICT LIABILITY OR</w:t>
      </w:r>
      <w:r w:rsidR="00F25FEF" w:rsidRPr="00B13A76">
        <w:rPr>
          <w:rFonts w:ascii="Times New Roman" w:hAnsi="Times New Roman" w:cs="Times New Roman"/>
          <w:sz w:val="24"/>
          <w:szCs w:val="24"/>
        </w:rPr>
        <w:t xml:space="preserve"> </w:t>
      </w:r>
      <w:r w:rsidRPr="00B13A76">
        <w:rPr>
          <w:rFonts w:ascii="Times New Roman" w:hAnsi="Times New Roman" w:cs="Times New Roman"/>
          <w:sz w:val="24"/>
          <w:szCs w:val="24"/>
        </w:rPr>
        <w:t>OTHERWIS</w:t>
      </w:r>
      <w:bookmarkStart w:id="25" w:name="Cash_Rate"/>
      <w:bookmarkEnd w:id="25"/>
      <w:r w:rsidRPr="00B13A76">
        <w:rPr>
          <w:rFonts w:ascii="Times New Roman" w:hAnsi="Times New Roman" w:cs="Times New Roman"/>
          <w:sz w:val="24"/>
          <w:szCs w:val="24"/>
        </w:rPr>
        <w:t>E</w:t>
      </w:r>
    </w:p>
    <w:p w:rsidR="00A31EA9" w:rsidRPr="00B53649" w:rsidRDefault="00A31EA9" w:rsidP="00A31EA9">
      <w:pPr>
        <w:pStyle w:val="Heading4"/>
        <w:kinsoku w:val="0"/>
        <w:overflowPunct w:val="0"/>
        <w:spacing w:line="228" w:lineRule="auto"/>
        <w:ind w:left="0" w:right="128"/>
        <w:rPr>
          <w:rFonts w:ascii="Times New Roman" w:hAnsi="Times New Roman" w:cs="Times New Roman"/>
          <w:sz w:val="24"/>
          <w:szCs w:val="24"/>
        </w:rPr>
      </w:pPr>
      <w:bookmarkStart w:id="26" w:name="Background_on_the_Index_Components"/>
      <w:bookmarkStart w:id="27" w:name="License_Agreement"/>
      <w:bookmarkEnd w:id="26"/>
      <w:bookmarkEnd w:id="27"/>
    </w:p>
    <w:p w:rsidR="00A31EA9" w:rsidRPr="001E3DA0" w:rsidRDefault="00A31EA9" w:rsidP="00700648">
      <w:pPr>
        <w:rPr>
          <w:rFonts w:ascii="Times New Roman" w:hAnsi="Times New Roman" w:cs="Times New Roman"/>
        </w:rPr>
      </w:pPr>
    </w:p>
    <w:sectPr w:rsidR="00A31EA9" w:rsidRPr="001E3DA0" w:rsidSect="003E2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8D" w:rsidRDefault="00A0288D">
      <w:r>
        <w:separator/>
      </w:r>
    </w:p>
  </w:endnote>
  <w:endnote w:type="continuationSeparator" w:id="0">
    <w:p w:rsidR="00A0288D" w:rsidRDefault="00A0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76988" w:rsidRDefault="00D76988" w:rsidP="00D76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6ED">
      <w:rPr>
        <w:rStyle w:val="PageNumber"/>
        <w:noProof/>
      </w:rPr>
      <w:t>9</w:t>
    </w:r>
    <w:r>
      <w:rPr>
        <w:rStyle w:val="PageNumber"/>
      </w:rPr>
      <w:fldChar w:fldCharType="end"/>
    </w:r>
  </w:p>
  <w:p w:rsidR="00D76988" w:rsidRDefault="00D76988" w:rsidP="00D769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8D" w:rsidRDefault="00A0288D">
      <w:r>
        <w:separator/>
      </w:r>
    </w:p>
  </w:footnote>
  <w:footnote w:type="continuationSeparator" w:id="0">
    <w:p w:rsidR="00A0288D" w:rsidRDefault="00A02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186" w:hanging="166"/>
      </w:pPr>
      <w:rPr>
        <w:rFonts w:ascii="Symbol" w:hAnsi="Symbol" w:cs="Symbol"/>
        <w:b w:val="0"/>
        <w:bCs w:val="0"/>
        <w:w w:val="99"/>
        <w:sz w:val="22"/>
        <w:szCs w:val="22"/>
      </w:rPr>
    </w:lvl>
    <w:lvl w:ilvl="1">
      <w:numFmt w:val="bullet"/>
      <w:lvlText w:val=""/>
      <w:lvlJc w:val="left"/>
      <w:pPr>
        <w:ind w:left="1199" w:hanging="360"/>
      </w:pPr>
      <w:rPr>
        <w:rFonts w:ascii="Symbol" w:hAnsi="Symbol" w:cs="Symbol"/>
        <w:b w:val="0"/>
        <w:bCs w:val="0"/>
        <w:w w:val="99"/>
        <w:sz w:val="20"/>
        <w:szCs w:val="20"/>
      </w:rPr>
    </w:lvl>
    <w:lvl w:ilvl="2">
      <w:numFmt w:val="bullet"/>
      <w:lvlText w:val="•"/>
      <w:lvlJc w:val="left"/>
      <w:pPr>
        <w:ind w:left="1360" w:hanging="360"/>
      </w:pPr>
    </w:lvl>
    <w:lvl w:ilvl="3">
      <w:numFmt w:val="bullet"/>
      <w:lvlText w:val="•"/>
      <w:lvlJc w:val="left"/>
      <w:pPr>
        <w:ind w:left="1235" w:hanging="360"/>
      </w:pPr>
    </w:lvl>
    <w:lvl w:ilvl="4">
      <w:numFmt w:val="bullet"/>
      <w:lvlText w:val="•"/>
      <w:lvlJc w:val="left"/>
      <w:pPr>
        <w:ind w:left="1110" w:hanging="360"/>
      </w:pPr>
    </w:lvl>
    <w:lvl w:ilvl="5">
      <w:numFmt w:val="bullet"/>
      <w:lvlText w:val="•"/>
      <w:lvlJc w:val="left"/>
      <w:pPr>
        <w:ind w:left="985" w:hanging="360"/>
      </w:pPr>
    </w:lvl>
    <w:lvl w:ilvl="6">
      <w:numFmt w:val="bullet"/>
      <w:lvlText w:val="•"/>
      <w:lvlJc w:val="left"/>
      <w:pPr>
        <w:ind w:left="861" w:hanging="360"/>
      </w:pPr>
    </w:lvl>
    <w:lvl w:ilvl="7">
      <w:numFmt w:val="bullet"/>
      <w:lvlText w:val="•"/>
      <w:lvlJc w:val="left"/>
      <w:pPr>
        <w:ind w:left="736" w:hanging="360"/>
      </w:pPr>
    </w:lvl>
    <w:lvl w:ilvl="8">
      <w:numFmt w:val="bullet"/>
      <w:lvlText w:val="•"/>
      <w:lvlJc w:val="left"/>
      <w:pPr>
        <w:ind w:left="611" w:hanging="360"/>
      </w:pPr>
    </w:lvl>
  </w:abstractNum>
  <w:abstractNum w:abstractNumId="1" w15:restartNumberingAfterBreak="0">
    <w:nsid w:val="00000408"/>
    <w:multiLevelType w:val="multilevel"/>
    <w:tmpl w:val="0000088B"/>
    <w:lvl w:ilvl="0">
      <w:start w:val="2"/>
      <w:numFmt w:val="lowerRoman"/>
      <w:lvlText w:val="(%1)"/>
      <w:lvlJc w:val="left"/>
      <w:pPr>
        <w:ind w:left="100" w:hanging="276"/>
      </w:pPr>
      <w:rPr>
        <w:rFonts w:ascii="Arial" w:hAnsi="Arial" w:cs="Arial"/>
        <w:b w:val="0"/>
        <w:bCs w:val="0"/>
        <w:w w:val="99"/>
        <w:sz w:val="20"/>
        <w:szCs w:val="20"/>
      </w:rPr>
    </w:lvl>
    <w:lvl w:ilvl="1">
      <w:numFmt w:val="bullet"/>
      <w:lvlText w:val=""/>
      <w:lvlJc w:val="left"/>
      <w:pPr>
        <w:ind w:left="1180" w:hanging="360"/>
      </w:pPr>
      <w:rPr>
        <w:rFonts w:ascii="Symbol" w:hAnsi="Symbol" w:cs="Symbol"/>
        <w:b w:val="0"/>
        <w:bCs w:val="0"/>
        <w:w w:val="99"/>
        <w:sz w:val="20"/>
        <w:szCs w:val="20"/>
      </w:rPr>
    </w:lvl>
    <w:lvl w:ilvl="2">
      <w:numFmt w:val="bullet"/>
      <w:lvlText w:val="•"/>
      <w:lvlJc w:val="left"/>
      <w:pPr>
        <w:ind w:left="2188" w:hanging="360"/>
      </w:pPr>
    </w:lvl>
    <w:lvl w:ilvl="3">
      <w:numFmt w:val="bullet"/>
      <w:lvlText w:val="•"/>
      <w:lvlJc w:val="left"/>
      <w:pPr>
        <w:ind w:left="3197" w:hanging="360"/>
      </w:pPr>
    </w:lvl>
    <w:lvl w:ilvl="4">
      <w:numFmt w:val="bullet"/>
      <w:lvlText w:val="•"/>
      <w:lvlJc w:val="left"/>
      <w:pPr>
        <w:ind w:left="4206" w:hanging="360"/>
      </w:pPr>
    </w:lvl>
    <w:lvl w:ilvl="5">
      <w:numFmt w:val="bullet"/>
      <w:lvlText w:val="•"/>
      <w:lvlJc w:val="left"/>
      <w:pPr>
        <w:ind w:left="5215" w:hanging="360"/>
      </w:pPr>
    </w:lvl>
    <w:lvl w:ilvl="6">
      <w:numFmt w:val="bullet"/>
      <w:lvlText w:val="•"/>
      <w:lvlJc w:val="left"/>
      <w:pPr>
        <w:ind w:left="6224" w:hanging="360"/>
      </w:pPr>
    </w:lvl>
    <w:lvl w:ilvl="7">
      <w:numFmt w:val="bullet"/>
      <w:lvlText w:val="•"/>
      <w:lvlJc w:val="left"/>
      <w:pPr>
        <w:ind w:left="7233" w:hanging="360"/>
      </w:pPr>
    </w:lvl>
    <w:lvl w:ilvl="8">
      <w:numFmt w:val="bullet"/>
      <w:lvlText w:val="•"/>
      <w:lvlJc w:val="left"/>
      <w:pPr>
        <w:ind w:left="8242" w:hanging="360"/>
      </w:pPr>
    </w:lvl>
  </w:abstractNum>
  <w:abstractNum w:abstractNumId="2" w15:restartNumberingAfterBreak="0">
    <w:nsid w:val="09E844F0"/>
    <w:multiLevelType w:val="hybridMultilevel"/>
    <w:tmpl w:val="D234AB7E"/>
    <w:lvl w:ilvl="0" w:tplc="047EB3B8">
      <w:start w:val="1"/>
      <w:numFmt w:val="decimal"/>
      <w:lvlText w:val="%1."/>
      <w:lvlJc w:val="left"/>
      <w:pPr>
        <w:ind w:left="720" w:hanging="360"/>
      </w:pPr>
      <w:rPr>
        <w:b/>
        <w:i w:val="0"/>
      </w:rPr>
    </w:lvl>
    <w:lvl w:ilvl="1" w:tplc="88DCCB7C">
      <w:start w:val="1"/>
      <w:numFmt w:val="lowerLetter"/>
      <w:lvlText w:val="%2."/>
      <w:lvlJc w:val="left"/>
      <w:pPr>
        <w:ind w:left="1440" w:hanging="360"/>
      </w:pPr>
      <w:rPr>
        <w:b w:val="0"/>
      </w:rPr>
    </w:lvl>
    <w:lvl w:ilvl="2" w:tplc="7628518C">
      <w:start w:val="1"/>
      <w:numFmt w:val="lowerRoman"/>
      <w:lvlText w:val="%3."/>
      <w:lvlJc w:val="right"/>
      <w:pPr>
        <w:ind w:left="2160" w:hanging="180"/>
      </w:pPr>
      <w:rPr>
        <w:b w:val="0"/>
        <w:color w:val="000000" w:themeColor="text1"/>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04382"/>
    <w:multiLevelType w:val="hybridMultilevel"/>
    <w:tmpl w:val="9BE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CD78FB"/>
    <w:multiLevelType w:val="hybridMultilevel"/>
    <w:tmpl w:val="E96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D33D7"/>
    <w:multiLevelType w:val="hybridMultilevel"/>
    <w:tmpl w:val="266EB268"/>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2A7A6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9615DD"/>
    <w:multiLevelType w:val="hybridMultilevel"/>
    <w:tmpl w:val="D67861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65246"/>
    <w:multiLevelType w:val="hybridMultilevel"/>
    <w:tmpl w:val="F85A55B4"/>
    <w:lvl w:ilvl="0" w:tplc="582873F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9505D"/>
    <w:multiLevelType w:val="hybridMultilevel"/>
    <w:tmpl w:val="673C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775BB"/>
    <w:multiLevelType w:val="hybridMultilevel"/>
    <w:tmpl w:val="B46295B2"/>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776BC"/>
    <w:multiLevelType w:val="hybridMultilevel"/>
    <w:tmpl w:val="B1580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6"/>
  </w:num>
  <w:num w:numId="6">
    <w:abstractNumId w:val="1"/>
  </w:num>
  <w:num w:numId="7">
    <w:abstractNumId w:val="0"/>
  </w:num>
  <w:num w:numId="8">
    <w:abstractNumId w:val="3"/>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00648"/>
    <w:rsid w:val="00016E2E"/>
    <w:rsid w:val="00034925"/>
    <w:rsid w:val="00093BA1"/>
    <w:rsid w:val="000C134E"/>
    <w:rsid w:val="000F052F"/>
    <w:rsid w:val="000F6323"/>
    <w:rsid w:val="0011528C"/>
    <w:rsid w:val="0012553A"/>
    <w:rsid w:val="0012677E"/>
    <w:rsid w:val="001306ED"/>
    <w:rsid w:val="00130F41"/>
    <w:rsid w:val="001963D4"/>
    <w:rsid w:val="001A2482"/>
    <w:rsid w:val="001A6BD3"/>
    <w:rsid w:val="001C0792"/>
    <w:rsid w:val="001E3DA0"/>
    <w:rsid w:val="00225875"/>
    <w:rsid w:val="00246CDC"/>
    <w:rsid w:val="002B278B"/>
    <w:rsid w:val="00376DB9"/>
    <w:rsid w:val="003E2A55"/>
    <w:rsid w:val="003E50F9"/>
    <w:rsid w:val="00435409"/>
    <w:rsid w:val="00452731"/>
    <w:rsid w:val="0046097A"/>
    <w:rsid w:val="004650FA"/>
    <w:rsid w:val="00477362"/>
    <w:rsid w:val="00490277"/>
    <w:rsid w:val="00536065"/>
    <w:rsid w:val="00541292"/>
    <w:rsid w:val="00553D9C"/>
    <w:rsid w:val="00592B1A"/>
    <w:rsid w:val="00592FA3"/>
    <w:rsid w:val="005931FA"/>
    <w:rsid w:val="005A5A33"/>
    <w:rsid w:val="005C017D"/>
    <w:rsid w:val="005D3971"/>
    <w:rsid w:val="005D6E04"/>
    <w:rsid w:val="005E56BF"/>
    <w:rsid w:val="005E68C1"/>
    <w:rsid w:val="005F6B69"/>
    <w:rsid w:val="00633436"/>
    <w:rsid w:val="00636CE6"/>
    <w:rsid w:val="006613B2"/>
    <w:rsid w:val="00677EAC"/>
    <w:rsid w:val="006A287C"/>
    <w:rsid w:val="006C5D93"/>
    <w:rsid w:val="006F75F8"/>
    <w:rsid w:val="00700648"/>
    <w:rsid w:val="007C4A04"/>
    <w:rsid w:val="00826F9A"/>
    <w:rsid w:val="00837840"/>
    <w:rsid w:val="00867C62"/>
    <w:rsid w:val="00886C15"/>
    <w:rsid w:val="008B00A5"/>
    <w:rsid w:val="008D0FB1"/>
    <w:rsid w:val="008D2819"/>
    <w:rsid w:val="008D3192"/>
    <w:rsid w:val="0090445A"/>
    <w:rsid w:val="00972F2D"/>
    <w:rsid w:val="00973221"/>
    <w:rsid w:val="00976F26"/>
    <w:rsid w:val="009A22E4"/>
    <w:rsid w:val="009C12A8"/>
    <w:rsid w:val="00A0288D"/>
    <w:rsid w:val="00A1474D"/>
    <w:rsid w:val="00A31EA9"/>
    <w:rsid w:val="00A33683"/>
    <w:rsid w:val="00A338F3"/>
    <w:rsid w:val="00A66F1B"/>
    <w:rsid w:val="00A671AC"/>
    <w:rsid w:val="00A96DED"/>
    <w:rsid w:val="00A974F1"/>
    <w:rsid w:val="00AA77B4"/>
    <w:rsid w:val="00AA79A4"/>
    <w:rsid w:val="00AB6635"/>
    <w:rsid w:val="00AF1B8F"/>
    <w:rsid w:val="00B13A76"/>
    <w:rsid w:val="00B3537D"/>
    <w:rsid w:val="00B45117"/>
    <w:rsid w:val="00B53649"/>
    <w:rsid w:val="00BA0BCD"/>
    <w:rsid w:val="00BB2636"/>
    <w:rsid w:val="00BE7BC8"/>
    <w:rsid w:val="00C677B8"/>
    <w:rsid w:val="00C72F03"/>
    <w:rsid w:val="00D23B11"/>
    <w:rsid w:val="00D2646D"/>
    <w:rsid w:val="00D61A69"/>
    <w:rsid w:val="00D76988"/>
    <w:rsid w:val="00DA74D7"/>
    <w:rsid w:val="00E240CF"/>
    <w:rsid w:val="00E57201"/>
    <w:rsid w:val="00E618F1"/>
    <w:rsid w:val="00E67D16"/>
    <w:rsid w:val="00E67DDB"/>
    <w:rsid w:val="00EE7007"/>
    <w:rsid w:val="00F05160"/>
    <w:rsid w:val="00F25FEF"/>
    <w:rsid w:val="00F32150"/>
    <w:rsid w:val="00F568A4"/>
    <w:rsid w:val="00FA0179"/>
    <w:rsid w:val="00FC2F64"/>
    <w:rsid w:val="00FF03B9"/>
    <w:rsid w:val="00F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8939-5B14-415F-A50C-160DB53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79"/>
  </w:style>
  <w:style w:type="paragraph" w:styleId="Heading4">
    <w:name w:val="heading 4"/>
    <w:basedOn w:val="Normal"/>
    <w:next w:val="Normal"/>
    <w:link w:val="Heading4Char"/>
    <w:uiPriority w:val="1"/>
    <w:qFormat/>
    <w:rsid w:val="00700648"/>
    <w:pPr>
      <w:widowControl w:val="0"/>
      <w:autoSpaceDE w:val="0"/>
      <w:autoSpaceDN w:val="0"/>
      <w:adjustRightInd w:val="0"/>
      <w:ind w:left="119"/>
      <w:outlineLvl w:val="3"/>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0648"/>
    <w:rPr>
      <w:rFonts w:ascii="Arial" w:eastAsiaTheme="minorEastAsia" w:hAnsi="Arial" w:cs="Arial"/>
      <w:b/>
      <w:bCs/>
      <w:sz w:val="20"/>
      <w:szCs w:val="20"/>
    </w:rPr>
  </w:style>
  <w:style w:type="paragraph" w:styleId="BodyText">
    <w:name w:val="Body Text"/>
    <w:basedOn w:val="Normal"/>
    <w:link w:val="BodyTextChar"/>
    <w:uiPriority w:val="1"/>
    <w:qFormat/>
    <w:rsid w:val="00700648"/>
    <w:pPr>
      <w:widowControl w:val="0"/>
      <w:autoSpaceDE w:val="0"/>
      <w:autoSpaceDN w:val="0"/>
      <w:adjustRightInd w:val="0"/>
      <w:ind w:left="119" w:firstLine="359"/>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700648"/>
    <w:rPr>
      <w:rFonts w:ascii="Arial" w:eastAsiaTheme="minorEastAsia" w:hAnsi="Arial" w:cs="Arial"/>
      <w:sz w:val="20"/>
      <w:szCs w:val="20"/>
    </w:rPr>
  </w:style>
  <w:style w:type="paragraph" w:styleId="ListParagraph">
    <w:name w:val="List Paragraph"/>
    <w:basedOn w:val="Normal"/>
    <w:uiPriority w:val="34"/>
    <w:qFormat/>
    <w:rsid w:val="00700648"/>
    <w:pPr>
      <w:ind w:left="720"/>
      <w:contextualSpacing/>
    </w:pPr>
    <w:rPr>
      <w:sz w:val="22"/>
      <w:szCs w:val="22"/>
    </w:rPr>
  </w:style>
  <w:style w:type="character" w:styleId="Hyperlink">
    <w:name w:val="Hyperlink"/>
    <w:basedOn w:val="DefaultParagraphFont"/>
    <w:uiPriority w:val="99"/>
    <w:unhideWhenUsed/>
    <w:rsid w:val="00700648"/>
    <w:rPr>
      <w:color w:val="0563C1" w:themeColor="hyperlink"/>
      <w:u w:val="single"/>
    </w:rPr>
  </w:style>
  <w:style w:type="paragraph" w:styleId="Footer">
    <w:name w:val="footer"/>
    <w:basedOn w:val="Normal"/>
    <w:link w:val="FooterChar"/>
    <w:uiPriority w:val="99"/>
    <w:unhideWhenUsed/>
    <w:rsid w:val="00A31EA9"/>
    <w:pPr>
      <w:tabs>
        <w:tab w:val="center" w:pos="4680"/>
        <w:tab w:val="right" w:pos="9360"/>
      </w:tabs>
    </w:pPr>
    <w:rPr>
      <w:sz w:val="22"/>
      <w:szCs w:val="22"/>
    </w:rPr>
  </w:style>
  <w:style w:type="character" w:customStyle="1" w:styleId="FooterChar">
    <w:name w:val="Footer Char"/>
    <w:basedOn w:val="DefaultParagraphFont"/>
    <w:link w:val="Footer"/>
    <w:uiPriority w:val="99"/>
    <w:rsid w:val="00A31EA9"/>
    <w:rPr>
      <w:sz w:val="22"/>
      <w:szCs w:val="22"/>
    </w:rPr>
  </w:style>
  <w:style w:type="character" w:styleId="PageNumber">
    <w:name w:val="page number"/>
    <w:basedOn w:val="DefaultParagraphFont"/>
    <w:uiPriority w:val="99"/>
    <w:semiHidden/>
    <w:unhideWhenUsed/>
    <w:rsid w:val="00A31EA9"/>
  </w:style>
  <w:style w:type="paragraph" w:styleId="BalloonText">
    <w:name w:val="Balloon Text"/>
    <w:basedOn w:val="Normal"/>
    <w:link w:val="BalloonTextChar"/>
    <w:uiPriority w:val="99"/>
    <w:semiHidden/>
    <w:unhideWhenUsed/>
    <w:rsid w:val="00016E2E"/>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16E2E"/>
    <w:rPr>
      <w:rFonts w:ascii="Times New Roman" w:hAnsi="Times New Roman" w:cs="Times New Roman"/>
      <w:sz w:val="26"/>
      <w:szCs w:val="26"/>
    </w:rPr>
  </w:style>
  <w:style w:type="paragraph" w:styleId="Revision">
    <w:name w:val="Revision"/>
    <w:hidden/>
    <w:uiPriority w:val="99"/>
    <w:semiHidden/>
    <w:rsid w:val="001E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9982">
      <w:bodyDiv w:val="1"/>
      <w:marLeft w:val="0"/>
      <w:marRight w:val="0"/>
      <w:marTop w:val="0"/>
      <w:marBottom w:val="0"/>
      <w:divBdr>
        <w:top w:val="none" w:sz="0" w:space="0" w:color="auto"/>
        <w:left w:val="none" w:sz="0" w:space="0" w:color="auto"/>
        <w:bottom w:val="none" w:sz="0" w:space="0" w:color="auto"/>
        <w:right w:val="none" w:sz="0" w:space="0" w:color="auto"/>
      </w:divBdr>
    </w:div>
    <w:div w:id="247738647">
      <w:bodyDiv w:val="1"/>
      <w:marLeft w:val="0"/>
      <w:marRight w:val="0"/>
      <w:marTop w:val="0"/>
      <w:marBottom w:val="0"/>
      <w:divBdr>
        <w:top w:val="none" w:sz="0" w:space="0" w:color="auto"/>
        <w:left w:val="none" w:sz="0" w:space="0" w:color="auto"/>
        <w:bottom w:val="none" w:sz="0" w:space="0" w:color="auto"/>
        <w:right w:val="none" w:sz="0" w:space="0" w:color="auto"/>
      </w:divBdr>
    </w:div>
    <w:div w:id="1882201773">
      <w:bodyDiv w:val="1"/>
      <w:marLeft w:val="0"/>
      <w:marRight w:val="0"/>
      <w:marTop w:val="0"/>
      <w:marBottom w:val="0"/>
      <w:divBdr>
        <w:top w:val="none" w:sz="0" w:space="0" w:color="auto"/>
        <w:left w:val="none" w:sz="0" w:space="0" w:color="auto"/>
        <w:bottom w:val="none" w:sz="0" w:space="0" w:color="auto"/>
        <w:right w:val="none" w:sz="0" w:space="0" w:color="auto"/>
      </w:divBdr>
    </w:div>
    <w:div w:id="20970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Thomson</dc:creator>
  <cp:lastModifiedBy>Matthew Hobson</cp:lastModifiedBy>
  <cp:revision>2</cp:revision>
  <cp:lastPrinted>2018-02-08T14:58:00Z</cp:lastPrinted>
  <dcterms:created xsi:type="dcterms:W3CDTF">2018-07-10T19:28:00Z</dcterms:created>
  <dcterms:modified xsi:type="dcterms:W3CDTF">2018-07-10T19:28:00Z</dcterms:modified>
</cp:coreProperties>
</file>